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Analisis Transformasi Struktural APBN Indonesia (2006–2026): Dinamika Persentase Komponen Utama, Determinan Fluktuasi, dan Implikasi Kekakuan Fiskal</w:t>
      </w:r>
    </w:p>
    <w:p w:rsidR="00000000" w:rsidDel="00000000" w:rsidP="00000000" w:rsidRDefault="00000000" w:rsidRPr="00000000" w14:paraId="00000002">
      <w:pPr>
        <w:pStyle w:val="Heading2"/>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Pendahuluan dan Konteks Makroekonomi</w:t>
      </w:r>
    </w:p>
    <w:p w:rsidR="00000000" w:rsidDel="00000000" w:rsidP="00000000" w:rsidRDefault="00000000" w:rsidRPr="00000000" w14:paraId="00000003">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Anggaran Pendapatan dan Belanja Negara (APBN) merupakan instrumen rekayasa fiskal paling krusial yang merefleksikan arah kebijakan, prioritas pembangunan, serta kapasitas negara dalam mengelola dan merespons dinamika perekonomian domestik maupun global. Selama kurun waktu dua dekade terakhir, terhitung sejak tahun 2006 hingga proyeksi tahun 2026, postur APBN Indonesia telah mengalami transformasi struktural yang sangat masif dan fundamental. Transformasi ini tidak hanya terefleksi pada lonjakan nilai nominal agregat yang bertumbuh secara eksponensial, melainkan juga pada pergeseran persentase komposisi pos pendapatan dan pengeluaran utama, perubahan paradigma desentralisasi fiskal, serta eskalasi tingkat kekakuan fiskal (fiscal rigidity) yang semakin membatasi ruang gerak pemerintah dari waktu ke waktu.</w:t>
      </w:r>
    </w:p>
    <w:p w:rsidR="00000000" w:rsidDel="00000000" w:rsidP="00000000" w:rsidRDefault="00000000" w:rsidRPr="00000000" w14:paraId="00000004">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Pada tahun 2006, instrumen fiskal Indonesia masih berada dalam fase konsolidasi pascakrisis multidimensi 1998, di mana pemerintah berupaya menstabilkan tingkat inflasi yang sempat menembus angka 15,53% pada pertengahan tahun akibat gejolak harga minyak mentah dunia, sebelum akhirnya berhasil diredam ke level 4,96% pada akhir tahun</w:t>
      </w:r>
      <w:r w:rsidDel="00000000" w:rsidR="00000000" w:rsidRPr="00000000">
        <w:rPr>
          <w:rFonts w:ascii="Google Sans" w:cs="Google Sans" w:eastAsia="Google Sans" w:hAnsi="Google Sans"/>
          <w:color w:val="444746"/>
          <w:sz w:val="24"/>
          <w:szCs w:val="24"/>
          <w:vertAlign w:val="superscript"/>
          <w:rtl w:val="0"/>
        </w:rPr>
        <w:t xml:space="preserve">1</w:t>
      </w:r>
      <w:r w:rsidDel="00000000" w:rsidR="00000000" w:rsidRPr="00000000">
        <w:rPr>
          <w:rFonts w:ascii="Google Sans" w:cs="Google Sans" w:eastAsia="Google Sans" w:hAnsi="Google Sans"/>
          <w:color w:val="1f1f1f"/>
          <w:rtl w:val="0"/>
        </w:rPr>
        <w:t xml:space="preserve">. Pada periode tersebut, penyusunan laporan keuangan negara juga masih dalam tahap transisi menuju standar akuntansi yang lebih komprehensif, yang puncaknya ditandai dengan penerapan basis akrual (accrual basis) secara penuh pada Laporan Keuangan Pemerintah Pusat (LKPP) tahun 2015</w:t>
      </w:r>
      <w:r w:rsidDel="00000000" w:rsidR="00000000" w:rsidRPr="00000000">
        <w:rPr>
          <w:rFonts w:ascii="Google Sans" w:cs="Google Sans" w:eastAsia="Google Sans" w:hAnsi="Google Sans"/>
          <w:color w:val="444746"/>
          <w:sz w:val="24"/>
          <w:szCs w:val="24"/>
          <w:vertAlign w:val="superscript"/>
          <w:rtl w:val="0"/>
        </w:rPr>
        <w:t xml:space="preserve">2</w:t>
      </w:r>
      <w:r w:rsidDel="00000000" w:rsidR="00000000" w:rsidRPr="00000000">
        <w:rPr>
          <w:rFonts w:ascii="Google Sans" w:cs="Google Sans" w:eastAsia="Google Sans" w:hAnsi="Google Sans"/>
          <w:color w:val="1f1f1f"/>
          <w:rtl w:val="0"/>
        </w:rPr>
        <w:t xml:space="preserve">. Dua puluh tahun kemudian, pada rancangan APBN 2026, kerangka fiskal dihadapkan pada tantangan struktural yang jauh lebih kompleks dan berisiko tinggi. APBN saat ini harus menanggung beban pembiayaan program strategis nasional bernilai masif, tekanan utang yang terakumulasi akibat kebijakan pelebaran defisit kontrasiklikal (countercyclical) selama pandemi COVID-19, serta volatilitas geopolitik yang memicu fluktuasi harga komoditas dan pelemahan nilai tukar Rupiah terhadap Dolar Amerika Serikat</w:t>
      </w:r>
      <w:r w:rsidDel="00000000" w:rsidR="00000000" w:rsidRPr="00000000">
        <w:rPr>
          <w:rFonts w:ascii="Google Sans" w:cs="Google Sans" w:eastAsia="Google Sans" w:hAnsi="Google Sans"/>
          <w:color w:val="444746"/>
          <w:sz w:val="24"/>
          <w:szCs w:val="24"/>
          <w:vertAlign w:val="superscript"/>
          <w:rtl w:val="0"/>
        </w:rPr>
        <w:t xml:space="preserve">4</w:t>
      </w:r>
      <w:r w:rsidDel="00000000" w:rsidR="00000000" w:rsidRPr="00000000">
        <w:rPr>
          <w:rFonts w:ascii="Google Sans" w:cs="Google Sans" w:eastAsia="Google Sans" w:hAnsi="Google Sans"/>
          <w:color w:val="1f1f1f"/>
          <w:rtl w:val="0"/>
        </w:rPr>
        <w:t xml:space="preserve">.</w:t>
      </w:r>
    </w:p>
    <w:p w:rsidR="00000000" w:rsidDel="00000000" w:rsidP="00000000" w:rsidRDefault="00000000" w:rsidRPr="00000000" w14:paraId="00000005">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Penelitian ini menyajikan analisis mendalam dan komprehensif mengenai anatomi APBN Indonesia selama rentang 20 tahun terakhir. Analisis ini difokuskan pada identifikasi persentase tiga besar pos pendapatan dan tiga besar pos pengeluaran negara, serta penelusuran kausalitas yang menjelaskan faktor-faktor pendorong naik turunnya persentase tersebut dari tahun ke tahun. Melalui pendekatan analisis data runtut waktu (time-series) atas Laporan Realisasi Anggaran (LRA) dan rancangan undang-undang, kajian ini mengevaluasi kinerja penerimaan perpajakan yang dihadapkan pada stagnasi rasio pajak (tax ratio), ketergantungan historis pada Penerimaan Negara Bukan Pajak (PNBP) yang sangat fluktuatif, serta pergeseran orientasi belanja negara dari Transfer ke Daerah (TKD) menuju sentralisasi program prioritas pusat yang diiringi dengan lonjakan beban pembayaran bunga utang yang menciptakan efek pendesakan (crowding-out effect).</w:t>
      </w:r>
    </w:p>
    <w:p w:rsidR="00000000" w:rsidDel="00000000" w:rsidP="00000000" w:rsidRDefault="00000000" w:rsidRPr="00000000" w14:paraId="00000006">
      <w:pPr>
        <w:pStyle w:val="Heading2"/>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Evolusi Postur Makro dan Akumulasi Skala Fiskal</w:t>
      </w:r>
    </w:p>
    <w:p w:rsidR="00000000" w:rsidDel="00000000" w:rsidP="00000000" w:rsidRDefault="00000000" w:rsidRPr="00000000" w14:paraId="00000007">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Sebagai landasan fundamental bagi arsitektur APBN, asumsi dasar ekonomi makro selalu menjadi indikator utama dalam mengukur kapasitas pengumpulan pendapatan dan batasan kebutuhan belanja negara. Selama rentang 2006 hingga 2026, asumsi dan realisasi makroekonomi Indonesia menunjukkan perubahan yang merefleksikan pendewasaan struktur ekonomi sekaligus kerentanan baru terhadap guncangan eksternal. Total pendapatan negara telah mengalami eskalasi hampir delapan kali lipat, dari estimasi awal sekitar Rp394,8 triliun pada era 2006, melesat menuju target ambisius sebesar Rp3.147,7 triliun hingga Rp3.153,6 triliun pada tahun 2026</w:t>
      </w:r>
      <w:r w:rsidDel="00000000" w:rsidR="00000000" w:rsidRPr="00000000">
        <w:rPr>
          <w:rFonts w:ascii="Google Sans" w:cs="Google Sans" w:eastAsia="Google Sans" w:hAnsi="Google Sans"/>
          <w:color w:val="444746"/>
          <w:sz w:val="24"/>
          <w:szCs w:val="24"/>
          <w:vertAlign w:val="superscript"/>
          <w:rtl w:val="0"/>
        </w:rPr>
        <w:t xml:space="preserve">4</w:t>
      </w:r>
      <w:r w:rsidDel="00000000" w:rsidR="00000000" w:rsidRPr="00000000">
        <w:rPr>
          <w:rFonts w:ascii="Google Sans" w:cs="Google Sans" w:eastAsia="Google Sans" w:hAnsi="Google Sans"/>
          <w:color w:val="1f1f1f"/>
          <w:rtl w:val="0"/>
        </w:rPr>
        <w:t xml:space="preserve">. Peningkatan kapasitas pendapatan ini berbanding lurus dengan ekspansi belanja negara yang melonjak dari kisaran Rp426 triliun pada tahun 2006 menjadi Rp3.786,5 triliun pada tahun 2026</w:t>
      </w:r>
      <w:r w:rsidDel="00000000" w:rsidR="00000000" w:rsidRPr="00000000">
        <w:rPr>
          <w:rFonts w:ascii="Google Sans" w:cs="Google Sans" w:eastAsia="Google Sans" w:hAnsi="Google Sans"/>
          <w:color w:val="444746"/>
          <w:sz w:val="24"/>
          <w:szCs w:val="24"/>
          <w:vertAlign w:val="superscript"/>
          <w:rtl w:val="0"/>
        </w:rPr>
        <w:t xml:space="preserve">7</w:t>
      </w:r>
      <w:r w:rsidDel="00000000" w:rsidR="00000000" w:rsidRPr="00000000">
        <w:rPr>
          <w:rFonts w:ascii="Google Sans" w:cs="Google Sans" w:eastAsia="Google Sans" w:hAnsi="Google Sans"/>
          <w:color w:val="1f1f1f"/>
          <w:rtl w:val="0"/>
        </w:rPr>
        <w:t xml:space="preserve">.</w:t>
      </w:r>
    </w:p>
    <w:p w:rsidR="00000000" w:rsidDel="00000000" w:rsidP="00000000" w:rsidRDefault="00000000" w:rsidRPr="00000000" w14:paraId="00000008">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Ekspansi fiskal yang berkelanjutan ini menciptakan defisit anggaran yang secara historis dijaga ketat di bawah batas kehati-hatian 3% dari Produk Domestik Bruto (PDB), sesuai amanat Undang-Undang Keuangan Negara. Pengecualian dan anomali terbesar terjadi pada era krisis pandemi COVID-19 di tahun 2020, saat pemerintah mengaktifkan Undang-Undang Nomor 2 Tahun 2020 (sebelumnya Perppu Nomor 1 Tahun 2020) untuk merelaksasi batas defisit hingga mencapai 6,09% dari PDB guna membiayai program Pemulihan Ekonomi Nasional (PEN)</w:t>
      </w:r>
      <w:r w:rsidDel="00000000" w:rsidR="00000000" w:rsidRPr="00000000">
        <w:rPr>
          <w:rFonts w:ascii="Google Sans" w:cs="Google Sans" w:eastAsia="Google Sans" w:hAnsi="Google Sans"/>
          <w:color w:val="444746"/>
          <w:sz w:val="24"/>
          <w:szCs w:val="24"/>
          <w:vertAlign w:val="superscript"/>
          <w:rtl w:val="0"/>
        </w:rPr>
        <w:t xml:space="preserve">9</w:t>
      </w:r>
      <w:r w:rsidDel="00000000" w:rsidR="00000000" w:rsidRPr="00000000">
        <w:rPr>
          <w:rFonts w:ascii="Google Sans" w:cs="Google Sans" w:eastAsia="Google Sans" w:hAnsi="Google Sans"/>
          <w:color w:val="1f1f1f"/>
          <w:rtl w:val="0"/>
        </w:rPr>
        <w:t xml:space="preserve">. Konsolidasi fiskal yang disiplin berhasil mengembalikan defisit di bawah 3% lebih cepat dari target, yakni pada tahun 2022 dan dilanjutkan pada tahun 2023 dengan realisasi sebesar 2,84%</w:t>
      </w:r>
      <w:r w:rsidDel="00000000" w:rsidR="00000000" w:rsidRPr="00000000">
        <w:rPr>
          <w:rFonts w:ascii="Google Sans" w:cs="Google Sans" w:eastAsia="Google Sans" w:hAnsi="Google Sans"/>
          <w:color w:val="444746"/>
          <w:sz w:val="24"/>
          <w:szCs w:val="24"/>
          <w:vertAlign w:val="superscript"/>
          <w:rtl w:val="0"/>
        </w:rPr>
        <w:t xml:space="preserve">12</w:t>
      </w:r>
      <w:r w:rsidDel="00000000" w:rsidR="00000000" w:rsidRPr="00000000">
        <w:rPr>
          <w:rFonts w:ascii="Google Sans" w:cs="Google Sans" w:eastAsia="Google Sans" w:hAnsi="Google Sans"/>
          <w:color w:val="1f1f1f"/>
          <w:rtl w:val="0"/>
        </w:rPr>
        <w:t xml:space="preserve">. Pada rancangan APBN 2026, defisit kembali diproyeksikan pada level moderat sebesar 2,48% hingga 2,68% dari PDB, yang menunjukkan upaya pemerintah untuk menyeimbangkan akselerasi pertumbuhan ekonomi di kisaran 5,4% dengan pengelolaan rasio utang yang pruden</w:t>
      </w:r>
      <w:r w:rsidDel="00000000" w:rsidR="00000000" w:rsidRPr="00000000">
        <w:rPr>
          <w:rFonts w:ascii="Google Sans" w:cs="Google Sans" w:eastAsia="Google Sans" w:hAnsi="Google Sans"/>
          <w:color w:val="444746"/>
          <w:sz w:val="24"/>
          <w:szCs w:val="24"/>
          <w:vertAlign w:val="superscript"/>
          <w:rtl w:val="0"/>
        </w:rPr>
        <w:t xml:space="preserve">7</w:t>
      </w:r>
      <w:r w:rsidDel="00000000" w:rsidR="00000000" w:rsidRPr="00000000">
        <w:rPr>
          <w:rFonts w:ascii="Google Sans" w:cs="Google Sans" w:eastAsia="Google Sans" w:hAnsi="Google Sans"/>
          <w:color w:val="1f1f1f"/>
          <w:rtl w:val="0"/>
        </w:rPr>
        <w:t xml:space="preserve">.</w:t>
      </w:r>
    </w:p>
    <w:p w:rsidR="00000000" w:rsidDel="00000000" w:rsidP="00000000" w:rsidRDefault="00000000" w:rsidRPr="00000000" w14:paraId="00000009">
      <w:pPr>
        <w:pStyle w:val="Heading2"/>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Persentase Tiga Besar Pos Pendapatan Negara (2006–2026)</w:t>
      </w:r>
    </w:p>
    <w:p w:rsidR="00000000" w:rsidDel="00000000" w:rsidP="00000000" w:rsidRDefault="00000000" w:rsidRPr="00000000" w14:paraId="0000000A">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Struktur pendapatan negara Indonesia secara absolut dikonstruksi oleh tiga pilar utama yang tidak pernah tergantikan posisinya selama dua dekade: Pajak Penghasilan (PPh), Pajak Pertambahan Nilai (PPN), dan Penerimaan Negara Bukan Pajak (PNBP). Meskipun kepabeanan dan cukai juga memberikan kontribusi penting, PPh, PPN, dan PNBP secara spesifik selalu menjadi penyumbang terbesar secara proporsional. Dinamika persentase ketiga komponen ini terhadap total pendapatan negara sangat fluktuatif, merekam jejak pergeseran kebijakan perpajakan, siklus harga komoditas global (commodity supercycle), dan ketahanan sektor riil domestik.</w:t>
      </w:r>
    </w:p>
    <w:p w:rsidR="00000000" w:rsidDel="00000000" w:rsidP="00000000" w:rsidRDefault="00000000" w:rsidRPr="00000000" w14:paraId="0000000B">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Berikut adalah tabel yang merepresentasikan evolusi persentase kontribusi tiga besar pos pendapatan terhadap total pendapatan negara pada tahun-tahun jangkar (anchor years) yang mewakili berbagai periode kebijakan.</w:t>
      </w:r>
    </w:p>
    <w:tbl>
      <w:tblPr>
        <w:tblStyle w:val="Table1"/>
        <w:tblW w:w="9360.0" w:type="dxa"/>
        <w:jc w:val="left"/>
        <w:tblBorders>
          <w:top w:color="c4c7c5" w:space="0" w:sz="6" w:val="single"/>
          <w:left w:color="c4c7c5" w:space="0" w:sz="6" w:val="single"/>
          <w:bottom w:color="c4c7c5" w:space="0" w:sz="6" w:val="single"/>
          <w:right w:color="c4c7c5" w:space="0" w:sz="6" w:val="single"/>
          <w:insideH w:color="c4c7c5" w:space="0" w:sz="6" w:val="single"/>
          <w:insideV w:color="c4c7c5" w:space="0" w:sz="6" w:val="single"/>
        </w:tblBorders>
        <w:tblLayout w:type="fixed"/>
        <w:tblLook w:val="0600"/>
      </w:tblPr>
      <w:tblGrid>
        <w:gridCol w:w="1872"/>
        <w:gridCol w:w="1872"/>
        <w:gridCol w:w="1872"/>
        <w:gridCol w:w="1872"/>
        <w:gridCol w:w="1872"/>
        <w:tblGridChange w:id="0">
          <w:tblGrid>
            <w:gridCol w:w="1872"/>
            <w:gridCol w:w="1872"/>
            <w:gridCol w:w="1872"/>
            <w:gridCol w:w="1872"/>
            <w:gridCol w:w="1872"/>
          </w:tblGrid>
        </w:tblGridChange>
      </w:tblGrid>
      <w:tr>
        <w:trPr>
          <w:cantSplit w:val="0"/>
          <w:tblHeader w:val="0"/>
        </w:trPr>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0C">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rPr>
            </w:pPr>
            <w:r w:rsidDel="00000000" w:rsidR="00000000" w:rsidRPr="00000000">
              <w:rPr>
                <w:rFonts w:ascii="Google Sans" w:cs="Google Sans" w:eastAsia="Google Sans" w:hAnsi="Google Sans"/>
                <w:b w:val="1"/>
                <w:bCs w:val="1"/>
                <w:color w:val="1f1f1f"/>
                <w:rtl w:val="0"/>
              </w:rPr>
              <w:t xml:space="preserve">Tahun Anggaran</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0D">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rPr>
            </w:pPr>
            <w:r w:rsidDel="00000000" w:rsidR="00000000" w:rsidRPr="00000000">
              <w:rPr>
                <w:rFonts w:ascii="Google Sans" w:cs="Google Sans" w:eastAsia="Google Sans" w:hAnsi="Google Sans"/>
                <w:b w:val="1"/>
                <w:bCs w:val="1"/>
                <w:color w:val="1f1f1f"/>
                <w:rtl w:val="0"/>
              </w:rPr>
              <w:t xml:space="preserve">Total Pendapatan Negara (Triliun Rp)</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0E">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rPr>
            </w:pPr>
            <w:r w:rsidDel="00000000" w:rsidR="00000000" w:rsidRPr="00000000">
              <w:rPr>
                <w:rFonts w:ascii="Google Sans" w:cs="Google Sans" w:eastAsia="Google Sans" w:hAnsi="Google Sans"/>
                <w:b w:val="1"/>
                <w:bCs w:val="1"/>
                <w:color w:val="1f1f1f"/>
                <w:rtl w:val="0"/>
              </w:rPr>
              <w:t xml:space="preserve">Proporsi Pajak Penghasilan (PPh)</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0F">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rPr>
            </w:pPr>
            <w:r w:rsidDel="00000000" w:rsidR="00000000" w:rsidRPr="00000000">
              <w:rPr>
                <w:rFonts w:ascii="Google Sans" w:cs="Google Sans" w:eastAsia="Google Sans" w:hAnsi="Google Sans"/>
                <w:b w:val="1"/>
                <w:bCs w:val="1"/>
                <w:color w:val="1f1f1f"/>
                <w:rtl w:val="0"/>
              </w:rPr>
              <w:t xml:space="preserve">Proporsi Pajak Pertambahan Nilai (PPN)</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10">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rPr>
            </w:pPr>
            <w:r w:rsidDel="00000000" w:rsidR="00000000" w:rsidRPr="00000000">
              <w:rPr>
                <w:rFonts w:ascii="Google Sans" w:cs="Google Sans" w:eastAsia="Google Sans" w:hAnsi="Google Sans"/>
                <w:b w:val="1"/>
                <w:bCs w:val="1"/>
                <w:color w:val="1f1f1f"/>
                <w:rtl w:val="0"/>
              </w:rPr>
              <w:t xml:space="preserve">Proporsi Penerimaan Negara Bukan Pajak (PNBP)</w:t>
            </w:r>
          </w:p>
        </w:tc>
      </w:tr>
      <w:tr>
        <w:trPr>
          <w:cantSplit w:val="0"/>
          <w:tblHeader w:val="0"/>
        </w:trPr>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11">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rPr>
            </w:pPr>
            <w:r w:rsidDel="00000000" w:rsidR="00000000" w:rsidRPr="00000000">
              <w:rPr>
                <w:rFonts w:ascii="Google Sans" w:cs="Google Sans" w:eastAsia="Google Sans" w:hAnsi="Google Sans"/>
                <w:b w:val="1"/>
                <w:bCs w:val="1"/>
                <w:color w:val="1f1f1f"/>
                <w:rtl w:val="0"/>
              </w:rPr>
              <w:t xml:space="preserve">2010 (Realisasi LKPP)</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12">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995,2</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13">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~36,5%</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14">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~27,8%</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15">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~26,5%</w:t>
            </w:r>
          </w:p>
        </w:tc>
      </w:tr>
      <w:tr>
        <w:trPr>
          <w:cantSplit w:val="0"/>
          <w:tblHeader w:val="0"/>
        </w:trPr>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16">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rPr>
            </w:pPr>
            <w:r w:rsidDel="00000000" w:rsidR="00000000" w:rsidRPr="00000000">
              <w:rPr>
                <w:rFonts w:ascii="Google Sans" w:cs="Google Sans" w:eastAsia="Google Sans" w:hAnsi="Google Sans"/>
                <w:b w:val="1"/>
                <w:bCs w:val="1"/>
                <w:color w:val="1f1f1f"/>
                <w:rtl w:val="0"/>
              </w:rPr>
              <w:t xml:space="preserve">2015 (Realisasi LKPP)</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17">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1.508,0</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18">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~39,8%</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19">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~28,1%</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1A">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~16,9%</w:t>
            </w:r>
          </w:p>
        </w:tc>
      </w:tr>
      <w:tr>
        <w:trPr>
          <w:cantSplit w:val="0"/>
          <w:tblHeader w:val="0"/>
        </w:trPr>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1B">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rPr>
            </w:pPr>
            <w:r w:rsidDel="00000000" w:rsidR="00000000" w:rsidRPr="00000000">
              <w:rPr>
                <w:rFonts w:ascii="Google Sans" w:cs="Google Sans" w:eastAsia="Google Sans" w:hAnsi="Google Sans"/>
                <w:b w:val="1"/>
                <w:bCs w:val="1"/>
                <w:color w:val="1f1f1f"/>
                <w:rtl w:val="0"/>
              </w:rPr>
              <w:t xml:space="preserve">2019 (Pra-Pandemi)</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1C">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1.960,6</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1D">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~39,5%</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1E">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~27,1%</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1F">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~20,6%</w:t>
            </w:r>
          </w:p>
        </w:tc>
      </w:tr>
      <w:tr>
        <w:trPr>
          <w:cantSplit w:val="0"/>
          <w:tblHeader w:val="0"/>
        </w:trPr>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20">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rPr>
            </w:pPr>
            <w:r w:rsidDel="00000000" w:rsidR="00000000" w:rsidRPr="00000000">
              <w:rPr>
                <w:rFonts w:ascii="Google Sans" w:cs="Google Sans" w:eastAsia="Google Sans" w:hAnsi="Google Sans"/>
                <w:b w:val="1"/>
                <w:bCs w:val="1"/>
                <w:color w:val="1f1f1f"/>
                <w:rtl w:val="0"/>
              </w:rPr>
              <w:t xml:space="preserve">2020 (Era Pandemi)</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21">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1.633,6</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22">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~35,2%</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23">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~27,5%</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24">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~21,0%</w:t>
            </w:r>
          </w:p>
        </w:tc>
      </w:tr>
      <w:tr>
        <w:trPr>
          <w:cantSplit w:val="0"/>
          <w:tblHeader w:val="0"/>
        </w:trPr>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25">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rPr>
            </w:pPr>
            <w:r w:rsidDel="00000000" w:rsidR="00000000" w:rsidRPr="00000000">
              <w:rPr>
                <w:rFonts w:ascii="Google Sans" w:cs="Google Sans" w:eastAsia="Google Sans" w:hAnsi="Google Sans"/>
                <w:b w:val="1"/>
                <w:bCs w:val="1"/>
                <w:color w:val="1f1f1f"/>
                <w:rtl w:val="0"/>
              </w:rPr>
              <w:t xml:space="preserve">2024 (Pasca-Pemulihan)</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26">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2.802,5</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27">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~37,4%</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28">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~30,2%</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29">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~18,6%</w:t>
            </w:r>
          </w:p>
        </w:tc>
      </w:tr>
      <w:tr>
        <w:trPr>
          <w:cantSplit w:val="0"/>
          <w:tblHeader w:val="0"/>
        </w:trPr>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2A">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rPr>
            </w:pPr>
            <w:r w:rsidDel="00000000" w:rsidR="00000000" w:rsidRPr="00000000">
              <w:rPr>
                <w:rFonts w:ascii="Google Sans" w:cs="Google Sans" w:eastAsia="Google Sans" w:hAnsi="Google Sans"/>
                <w:b w:val="1"/>
                <w:bCs w:val="1"/>
                <w:color w:val="1f1f1f"/>
                <w:rtl w:val="0"/>
              </w:rPr>
              <w:t xml:space="preserve">2026 (Target APBN)</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2B">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3.147,7</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2C">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~37,9%</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2D">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~32,1%</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2E">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~14,4%</w:t>
            </w:r>
          </w:p>
        </w:tc>
      </w:tr>
    </w:tbl>
    <w:p w:rsidR="00000000" w:rsidDel="00000000" w:rsidP="00000000" w:rsidRDefault="00000000" w:rsidRPr="00000000" w14:paraId="0000002F">
      <w:pPr>
        <w:pBdr>
          <w:top w:space="0" w:sz="0" w:val="nil"/>
          <w:left w:space="0" w:sz="0" w:val="nil"/>
          <w:bottom w:space="0" w:sz="0" w:val="nil"/>
          <w:right w:space="0" w:sz="0" w:val="nil"/>
          <w:between w:space="0" w:sz="0" w:val="nil"/>
        </w:pBdr>
        <w:shd w:fill="auto" w:val="clear"/>
        <w:spacing w:before="48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i w:val="1"/>
          <w:iCs w:val="1"/>
          <w:color w:val="1f1f1f"/>
          <w:rtl w:val="0"/>
        </w:rPr>
        <w:t xml:space="preserve">Catatan: Persentase dikalkulasi dari berbagai rilis Laporan Keuangan Pemerintah Pusat (LKPP), Nota Keuangan, dan Konferensi Pers APBN KiTA berdasarkan porsi masing-masing komponen terhadap total Pendapatan Negara (di luar Hibah dan Kepabeanan/Cukai secara spesifik)</w:t>
      </w:r>
      <w:r w:rsidDel="00000000" w:rsidR="00000000" w:rsidRPr="00000000">
        <w:rPr>
          <w:rFonts w:ascii="Google Sans" w:cs="Google Sans" w:eastAsia="Google Sans" w:hAnsi="Google Sans"/>
          <w:color w:val="444746"/>
          <w:sz w:val="24"/>
          <w:szCs w:val="24"/>
          <w:vertAlign w:val="superscript"/>
          <w:rtl w:val="0"/>
        </w:rPr>
        <w:t xml:space="preserve">7</w:t>
      </w:r>
      <w:r w:rsidDel="00000000" w:rsidR="00000000" w:rsidRPr="00000000">
        <w:rPr>
          <w:rFonts w:ascii="Google Sans" w:cs="Google Sans" w:eastAsia="Google Sans" w:hAnsi="Google Sans"/>
          <w:color w:val="1f1f1f"/>
          <w:rtl w:val="0"/>
        </w:rPr>
        <w:t xml:space="preserve">.</w:t>
      </w:r>
    </w:p>
    <w:p w:rsidR="00000000" w:rsidDel="00000000" w:rsidP="00000000" w:rsidRDefault="00000000" w:rsidRPr="00000000" w14:paraId="00000030">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Dinamika Pajak Penghasilan (PPh) dan Pajak Pertambahan Nilai (PPN)</w:t>
      </w:r>
    </w:p>
    <w:p w:rsidR="00000000" w:rsidDel="00000000" w:rsidP="00000000" w:rsidRDefault="00000000" w:rsidRPr="00000000" w14:paraId="00000031">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Penerimaan perpajakan senantiasa menjadi kontributor absolut dengan porsi lebih dari 70% hingga 80% terhadap total pendapatan negara setiap tahunnya, membuktikan fungsinya sebagai tulang punggung (backbone) kemandirian fiskal bangsa</w:t>
      </w:r>
      <w:r w:rsidDel="00000000" w:rsidR="00000000" w:rsidRPr="00000000">
        <w:rPr>
          <w:rFonts w:ascii="Google Sans" w:cs="Google Sans" w:eastAsia="Google Sans" w:hAnsi="Google Sans"/>
          <w:color w:val="444746"/>
          <w:sz w:val="24"/>
          <w:szCs w:val="24"/>
          <w:vertAlign w:val="superscript"/>
          <w:rtl w:val="0"/>
        </w:rPr>
        <w:t xml:space="preserve">17</w:t>
      </w:r>
      <w:r w:rsidDel="00000000" w:rsidR="00000000" w:rsidRPr="00000000">
        <w:rPr>
          <w:rFonts w:ascii="Google Sans" w:cs="Google Sans" w:eastAsia="Google Sans" w:hAnsi="Google Sans"/>
          <w:color w:val="1f1f1f"/>
          <w:rtl w:val="0"/>
        </w:rPr>
        <w:t xml:space="preserve">. Dari keseluruhan penerimaan pajak tersebut, PPh dan PPN adalah dua komponen yang saling mengimbangi. Pada rancangan APBN 2026, dari total target penerimaan pajak sebesar Rp2.357,7 triliun, PPh dirancang untuk berkontribusi sebesar 50,6% dari kue pajak (ekuivalen dengan sekitar 37,9% dari total pendapatan negara), sedangkan PPN beserta Pajak Penjualan atas Barang Mewah (PPnBM) berkontribusi sebesar 42,9% dari kue pajak (ekuivalen dengan 32,1% dari total pendapatan negara)</w:t>
      </w:r>
      <w:r w:rsidDel="00000000" w:rsidR="00000000" w:rsidRPr="00000000">
        <w:rPr>
          <w:rFonts w:ascii="Google Sans" w:cs="Google Sans" w:eastAsia="Google Sans" w:hAnsi="Google Sans"/>
          <w:color w:val="444746"/>
          <w:sz w:val="24"/>
          <w:szCs w:val="24"/>
          <w:vertAlign w:val="superscript"/>
          <w:rtl w:val="0"/>
        </w:rPr>
        <w:t xml:space="preserve">8</w:t>
      </w:r>
      <w:r w:rsidDel="00000000" w:rsidR="00000000" w:rsidRPr="00000000">
        <w:rPr>
          <w:rFonts w:ascii="Google Sans" w:cs="Google Sans" w:eastAsia="Google Sans" w:hAnsi="Google Sans"/>
          <w:color w:val="1f1f1f"/>
          <w:rtl w:val="0"/>
        </w:rPr>
        <w:t xml:space="preserve">.</w:t>
      </w:r>
    </w:p>
    <w:p w:rsidR="00000000" w:rsidDel="00000000" w:rsidP="00000000" w:rsidRDefault="00000000" w:rsidRPr="00000000" w14:paraId="00000032">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Selama 20 tahun terakhir, penerimaan PPh dan PPN mengalami volatilitas yang sangat dipengaruhi oleh kebijakan insentif fiskal, perubahan tarif dasar, serta kontraksi atau ekspansi aktivitas ekonomi. Pada periode pascakrisis 2006 hingga berakhirnya era ledakan harga komoditas (commodity boom) pertama pada 2014, PPh Badan mendominasi pertumbuhan seiring tingginya profitabilitas korporasi, khususnya di sektor ekstraktif seperti pertambangan dan perkebunan kelapa sawit. Memasuki periode krisis kesehatan global pada tahun 2020, penerimaan pajak terkontraksi tajam secara agregat hingga negatif 16,7%</w:t>
      </w:r>
      <w:r w:rsidDel="00000000" w:rsidR="00000000" w:rsidRPr="00000000">
        <w:rPr>
          <w:rFonts w:ascii="Google Sans" w:cs="Google Sans" w:eastAsia="Google Sans" w:hAnsi="Google Sans"/>
          <w:color w:val="444746"/>
          <w:sz w:val="24"/>
          <w:szCs w:val="24"/>
          <w:vertAlign w:val="superscript"/>
          <w:rtl w:val="0"/>
        </w:rPr>
        <w:t xml:space="preserve">9</w:t>
      </w:r>
      <w:r w:rsidDel="00000000" w:rsidR="00000000" w:rsidRPr="00000000">
        <w:rPr>
          <w:rFonts w:ascii="Google Sans" w:cs="Google Sans" w:eastAsia="Google Sans" w:hAnsi="Google Sans"/>
          <w:color w:val="1f1f1f"/>
          <w:rtl w:val="0"/>
        </w:rPr>
        <w:t xml:space="preserve">. Kontraksi ini tidak hanya disebabkan oleh terhentinya mobilitas sosial dan aktivitas bisnis, melainkan juga akibat intervensi pemerintah yang secara sadar mengorbankan fungsi penerimaan (budgetair) demi fungsi pengaturan (regulerend) melalui pemberian insentif masif. Kebijakan seperti PPh 21 Ditanggung Pemerintah (DTP) untuk karyawan, percepatan restitusi PPN untuk menjaga arus kas perusahaan, serta pengurangan angsuran PPh Pasal 25 badan usaha dan pembebasan PPh Final UMKM memukul telak rasio penerimaan pada tahun tersebut</w:t>
      </w:r>
      <w:r w:rsidDel="00000000" w:rsidR="00000000" w:rsidRPr="00000000">
        <w:rPr>
          <w:rFonts w:ascii="Google Sans" w:cs="Google Sans" w:eastAsia="Google Sans" w:hAnsi="Google Sans"/>
          <w:color w:val="444746"/>
          <w:sz w:val="24"/>
          <w:szCs w:val="24"/>
          <w:vertAlign w:val="superscript"/>
          <w:rtl w:val="0"/>
        </w:rPr>
        <w:t xml:space="preserve">9</w:t>
      </w:r>
      <w:r w:rsidDel="00000000" w:rsidR="00000000" w:rsidRPr="00000000">
        <w:rPr>
          <w:rFonts w:ascii="Google Sans" w:cs="Google Sans" w:eastAsia="Google Sans" w:hAnsi="Google Sans"/>
          <w:color w:val="1f1f1f"/>
          <w:rtl w:val="0"/>
        </w:rPr>
        <w:t xml:space="preserve">.</w:t>
      </w:r>
    </w:p>
    <w:p w:rsidR="00000000" w:rsidDel="00000000" w:rsidP="00000000" w:rsidRDefault="00000000" w:rsidRPr="00000000" w14:paraId="00000033">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Fase pemulihan pascapandemi kemudian menunjukkan pergeseran struktural yang sangat kentara menuju penguatan basis pajak konsumsi. Sejak akhir tahun 2021, pemerintah bersama Dewan Perwakilan Rakyat (DPR) mengesahkan dan mengimplementasikan Undang-Undang Harmonisasi Peraturan Perpajakan (UU HPP). Salah satu klausul paling fundamental dalam beleid tersebut adalah penyesuaian tarif PPN secara bertahap, dari yang semula 10% menjadi 11% pada 2022, dan dirancang meningkat menjadi 12% sesuai mandat undang-undang yang proyeksikan berlaku penuh pada siklus 2025-2026</w:t>
      </w:r>
      <w:r w:rsidDel="00000000" w:rsidR="00000000" w:rsidRPr="00000000">
        <w:rPr>
          <w:rFonts w:ascii="Google Sans" w:cs="Google Sans" w:eastAsia="Google Sans" w:hAnsi="Google Sans"/>
          <w:color w:val="444746"/>
          <w:sz w:val="24"/>
          <w:szCs w:val="24"/>
          <w:vertAlign w:val="superscript"/>
          <w:rtl w:val="0"/>
        </w:rPr>
        <w:t xml:space="preserve">20</w:t>
      </w:r>
      <w:r w:rsidDel="00000000" w:rsidR="00000000" w:rsidRPr="00000000">
        <w:rPr>
          <w:rFonts w:ascii="Google Sans" w:cs="Google Sans" w:eastAsia="Google Sans" w:hAnsi="Google Sans"/>
          <w:color w:val="1f1f1f"/>
          <w:rtl w:val="0"/>
        </w:rPr>
        <w:t xml:space="preserve">. Penyesuaian tarif ini seketika mendongkrak penerimaan PPN secara eksponensial. Laporan realisasi kinerja fiskal hingga Mei 2026 menunjukkan lonjakan penerimaan PPN dan PPnBM hingga 41,3% secara tahunan (year-on-year) menjadi Rp315,7 triliun</w:t>
      </w:r>
      <w:r w:rsidDel="00000000" w:rsidR="00000000" w:rsidRPr="00000000">
        <w:rPr>
          <w:rFonts w:ascii="Google Sans" w:cs="Google Sans" w:eastAsia="Google Sans" w:hAnsi="Google Sans"/>
          <w:color w:val="444746"/>
          <w:sz w:val="24"/>
          <w:szCs w:val="24"/>
          <w:vertAlign w:val="superscript"/>
          <w:rtl w:val="0"/>
        </w:rPr>
        <w:t xml:space="preserve">22</w:t>
      </w:r>
      <w:r w:rsidDel="00000000" w:rsidR="00000000" w:rsidRPr="00000000">
        <w:rPr>
          <w:rFonts w:ascii="Google Sans" w:cs="Google Sans" w:eastAsia="Google Sans" w:hAnsi="Google Sans"/>
          <w:color w:val="1f1f1f"/>
          <w:rtl w:val="0"/>
        </w:rPr>
        <w:t xml:space="preserve">. Lonjakan ini mengindikasikan bahwa konsumsi domestik tetap menjadi motor penggerak utama pertumbuhan ekonomi, sekaligus menepis kekhawatiran mengenai kejatuhan daya beli masyarakat</w:t>
      </w:r>
      <w:r w:rsidDel="00000000" w:rsidR="00000000" w:rsidRPr="00000000">
        <w:rPr>
          <w:rFonts w:ascii="Google Sans" w:cs="Google Sans" w:eastAsia="Google Sans" w:hAnsi="Google Sans"/>
          <w:color w:val="444746"/>
          <w:sz w:val="24"/>
          <w:szCs w:val="24"/>
          <w:vertAlign w:val="superscript"/>
          <w:rtl w:val="0"/>
        </w:rPr>
        <w:t xml:space="preserve">22</w:t>
      </w:r>
      <w:r w:rsidDel="00000000" w:rsidR="00000000" w:rsidRPr="00000000">
        <w:rPr>
          <w:rFonts w:ascii="Google Sans" w:cs="Google Sans" w:eastAsia="Google Sans" w:hAnsi="Google Sans"/>
          <w:color w:val="1f1f1f"/>
          <w:rtl w:val="0"/>
        </w:rPr>
        <w:t xml:space="preserve">. Di saat yang sama, PPh 21 yang berasal dari pajak penghasilan karyawan turut mencatatkan pertumbuhan yang sangat kuat sebesar 21%, yang mencerminkan perbaikan penyerapan tenaga kerja dan peningkatan kompensasi di sektor formal</w:t>
      </w:r>
      <w:r w:rsidDel="00000000" w:rsidR="00000000" w:rsidRPr="00000000">
        <w:rPr>
          <w:rFonts w:ascii="Google Sans" w:cs="Google Sans" w:eastAsia="Google Sans" w:hAnsi="Google Sans"/>
          <w:color w:val="444746"/>
          <w:sz w:val="24"/>
          <w:szCs w:val="24"/>
          <w:vertAlign w:val="superscript"/>
          <w:rtl w:val="0"/>
        </w:rPr>
        <w:t xml:space="preserve">24</w:t>
      </w:r>
      <w:r w:rsidDel="00000000" w:rsidR="00000000" w:rsidRPr="00000000">
        <w:rPr>
          <w:rFonts w:ascii="Google Sans" w:cs="Google Sans" w:eastAsia="Google Sans" w:hAnsi="Google Sans"/>
          <w:color w:val="1f1f1f"/>
          <w:rtl w:val="0"/>
        </w:rPr>
        <w:t xml:space="preserve">.</w:t>
      </w:r>
    </w:p>
    <w:p w:rsidR="00000000" w:rsidDel="00000000" w:rsidP="00000000" w:rsidRDefault="00000000" w:rsidRPr="00000000" w14:paraId="00000034">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Untuk menjaga keberlanjutan penerimaan, pemerintah tidak hanya mengandalkan instrumen tarif, tetapi juga melakukan reformasi administrasi perpajakan yang komprehensif. Implementasi Core Tax Administration System (CTAS) yang mulai diluncurkan pada tahun 2024 dan semakin matang pada tahun 2026 terbukti mampu menambal celah kebocoran penerimaan (tax evasion)</w:t>
      </w:r>
      <w:r w:rsidDel="00000000" w:rsidR="00000000" w:rsidRPr="00000000">
        <w:rPr>
          <w:rFonts w:ascii="Google Sans" w:cs="Google Sans" w:eastAsia="Google Sans" w:hAnsi="Google Sans"/>
          <w:color w:val="444746"/>
          <w:sz w:val="24"/>
          <w:szCs w:val="24"/>
          <w:vertAlign w:val="superscript"/>
          <w:rtl w:val="0"/>
        </w:rPr>
        <w:t xml:space="preserve">20</w:t>
      </w:r>
      <w:r w:rsidDel="00000000" w:rsidR="00000000" w:rsidRPr="00000000">
        <w:rPr>
          <w:rFonts w:ascii="Google Sans" w:cs="Google Sans" w:eastAsia="Google Sans" w:hAnsi="Google Sans"/>
          <w:color w:val="1f1f1f"/>
          <w:rtl w:val="0"/>
        </w:rPr>
        <w:t xml:space="preserve">. Sistem ini mengintegrasikan basis data lintas instansi, memungkinkan Direktorat Jenderal Pajak untuk melakukan pengawasan terprioritas terhadap Wajib Pajak bernilai kekayaan tinggi (High Wealth Individuals/HWI) secara otomatis, serta memanfaatkan teknologi forensik digital untuk memetakan aktivitas ekonomi bayangan (shadow economy)</w:t>
      </w:r>
      <w:r w:rsidDel="00000000" w:rsidR="00000000" w:rsidRPr="00000000">
        <w:rPr>
          <w:rFonts w:ascii="Google Sans" w:cs="Google Sans" w:eastAsia="Google Sans" w:hAnsi="Google Sans"/>
          <w:color w:val="444746"/>
          <w:sz w:val="24"/>
          <w:szCs w:val="24"/>
          <w:vertAlign w:val="superscript"/>
          <w:rtl w:val="0"/>
        </w:rPr>
        <w:t xml:space="preserve">20</w:t>
      </w:r>
      <w:r w:rsidDel="00000000" w:rsidR="00000000" w:rsidRPr="00000000">
        <w:rPr>
          <w:rFonts w:ascii="Google Sans" w:cs="Google Sans" w:eastAsia="Google Sans" w:hAnsi="Google Sans"/>
          <w:color w:val="1f1f1f"/>
          <w:rtl w:val="0"/>
        </w:rPr>
        <w:t xml:space="preserve">.</w:t>
      </w:r>
    </w:p>
    <w:p w:rsidR="00000000" w:rsidDel="00000000" w:rsidP="00000000" w:rsidRDefault="00000000" w:rsidRPr="00000000" w14:paraId="00000035">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Meskipun nominal penerimaan perpajakan secara konsisten menembus rekor baru dari tahun ke tahun, analisis struktural mengindikasikan bahwa rasio pajak terhadap PDB (tax ratio) Indonesia masih berada dalam level yang sangat mengkhawatirkan jika dibandingkan dengan negara-negara setara (peer countries). Berdasarkan laporan dari Organisation for Economic Co-operation and Development (OECD) yang bertajuk "Revenue Statistics in Asia and the Pacific 2026", tax ratio Indonesia pada tahun 2024 hanya mencapai 11,8% dari PDB</w:t>
      </w:r>
      <w:r w:rsidDel="00000000" w:rsidR="00000000" w:rsidRPr="00000000">
        <w:rPr>
          <w:rFonts w:ascii="Google Sans" w:cs="Google Sans" w:eastAsia="Google Sans" w:hAnsi="Google Sans"/>
          <w:color w:val="444746"/>
          <w:sz w:val="24"/>
          <w:szCs w:val="24"/>
          <w:vertAlign w:val="superscript"/>
          <w:rtl w:val="0"/>
        </w:rPr>
        <w:t xml:space="preserve">26</w:t>
      </w:r>
      <w:r w:rsidDel="00000000" w:rsidR="00000000" w:rsidRPr="00000000">
        <w:rPr>
          <w:rFonts w:ascii="Google Sans" w:cs="Google Sans" w:eastAsia="Google Sans" w:hAnsi="Google Sans"/>
          <w:color w:val="1f1f1f"/>
          <w:rtl w:val="0"/>
        </w:rPr>
        <w:t xml:space="preserve">. Angka ini menempatkan Indonesia sebagai negara dengan kemampuan ekstraksi pajak terendah ketiga dari 38 negara yang disurvei di kawasan Asia Pasifik, di mana posisinya hanya sedikit lebih baik dibandingkan Timor Leste (10,0%) dan Bangladesh (6,7%)</w:t>
      </w:r>
      <w:r w:rsidDel="00000000" w:rsidR="00000000" w:rsidRPr="00000000">
        <w:rPr>
          <w:rFonts w:ascii="Google Sans" w:cs="Google Sans" w:eastAsia="Google Sans" w:hAnsi="Google Sans"/>
          <w:color w:val="444746"/>
          <w:sz w:val="24"/>
          <w:szCs w:val="24"/>
          <w:vertAlign w:val="superscript"/>
          <w:rtl w:val="0"/>
        </w:rPr>
        <w:t xml:space="preserve">26</w:t>
      </w:r>
      <w:r w:rsidDel="00000000" w:rsidR="00000000" w:rsidRPr="00000000">
        <w:rPr>
          <w:rFonts w:ascii="Google Sans" w:cs="Google Sans" w:eastAsia="Google Sans" w:hAnsi="Google Sans"/>
          <w:color w:val="1f1f1f"/>
          <w:rtl w:val="0"/>
        </w:rPr>
        <w:t xml:space="preserve">. Kesenjangan ini terlihat sangat kontras bila disandingkan dengan rata-rata tax ratio di kawasan Asia Pasifik yang telah mencapai 19,7%, dan semakin tertinggal jauh dari rata-rata negara maju OECD di angka 34,1%</w:t>
      </w:r>
      <w:r w:rsidDel="00000000" w:rsidR="00000000" w:rsidRPr="00000000">
        <w:rPr>
          <w:rFonts w:ascii="Google Sans" w:cs="Google Sans" w:eastAsia="Google Sans" w:hAnsi="Google Sans"/>
          <w:color w:val="444746"/>
          <w:sz w:val="24"/>
          <w:szCs w:val="24"/>
          <w:vertAlign w:val="superscript"/>
          <w:rtl w:val="0"/>
        </w:rPr>
        <w:t xml:space="preserve">27</w:t>
      </w:r>
      <w:r w:rsidDel="00000000" w:rsidR="00000000" w:rsidRPr="00000000">
        <w:rPr>
          <w:rFonts w:ascii="Google Sans" w:cs="Google Sans" w:eastAsia="Google Sans" w:hAnsi="Google Sans"/>
          <w:color w:val="1f1f1f"/>
          <w:rtl w:val="0"/>
        </w:rPr>
        <w:t xml:space="preserve">. Stagnasi tax ratio ini—yang pada proyeksi 2025 dalam arti luas hanya bertengger di kisaran 9,31% hingga 10,08%</w:t>
      </w:r>
      <w:r w:rsidDel="00000000" w:rsidR="00000000" w:rsidRPr="00000000">
        <w:rPr>
          <w:rFonts w:ascii="Google Sans" w:cs="Google Sans" w:eastAsia="Google Sans" w:hAnsi="Google Sans"/>
          <w:color w:val="444746"/>
          <w:sz w:val="24"/>
          <w:szCs w:val="24"/>
          <w:vertAlign w:val="superscript"/>
          <w:rtl w:val="0"/>
        </w:rPr>
        <w:t xml:space="preserve">29</w:t>
      </w:r>
      <w:r w:rsidDel="00000000" w:rsidR="00000000" w:rsidRPr="00000000">
        <w:rPr>
          <w:rFonts w:ascii="Google Sans" w:cs="Google Sans" w:eastAsia="Google Sans" w:hAnsi="Google Sans"/>
          <w:color w:val="1f1f1f"/>
          <w:rtl w:val="0"/>
        </w:rPr>
        <w:t xml:space="preserve">—merupakan produk dari besarnya dominasi sektor informal yang tidak tersentuh pajak, sempitnya basis pemajakan di luar sektor konsumsi, serta ekstensifnya pemberian perlakuan khusus atau belanja perpajakan (tax expenditure) berupa tax holiday, tax allowance, dan pengecualian PPN untuk berbagai sektor strategis guna menarik investasi asing</w:t>
      </w:r>
      <w:r w:rsidDel="00000000" w:rsidR="00000000" w:rsidRPr="00000000">
        <w:rPr>
          <w:rFonts w:ascii="Google Sans" w:cs="Google Sans" w:eastAsia="Google Sans" w:hAnsi="Google Sans"/>
          <w:color w:val="444746"/>
          <w:sz w:val="24"/>
          <w:szCs w:val="24"/>
          <w:vertAlign w:val="superscript"/>
          <w:rtl w:val="0"/>
        </w:rPr>
        <w:t xml:space="preserve">30</w:t>
      </w:r>
      <w:r w:rsidDel="00000000" w:rsidR="00000000" w:rsidRPr="00000000">
        <w:rPr>
          <w:rFonts w:ascii="Google Sans" w:cs="Google Sans" w:eastAsia="Google Sans" w:hAnsi="Google Sans"/>
          <w:color w:val="1f1f1f"/>
          <w:rtl w:val="0"/>
        </w:rPr>
        <w:t xml:space="preserve">. Kelemahan struktural dalam memobilisasi pendapatan domestik ini pada akhirnya memaksa APBN untuk terus bergantung pada instrumen pembiayaan utang.</w:t>
      </w:r>
    </w:p>
    <w:p w:rsidR="00000000" w:rsidDel="00000000" w:rsidP="00000000" w:rsidRDefault="00000000" w:rsidRPr="00000000" w14:paraId="00000036">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Signifikansi dan Kerentanan Penerimaan Negara Bukan Pajak (PNBP)</w:t>
      </w:r>
    </w:p>
    <w:p w:rsidR="00000000" w:rsidDel="00000000" w:rsidP="00000000" w:rsidRDefault="00000000" w:rsidRPr="00000000" w14:paraId="00000037">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Pos terbesar ketiga secara historis yang sering kali menjadi bantalan penyelamat (shock absorber) adalah Penerimaan Negara Bukan Pajak (PNBP). Peran PNBP dalam arsitektur APBN bagaikan pisau bermata dua. Di satu sisi, komponen ini memberikan suntikan likuiditas yang masif dan instan ketika harga komoditas global mengalami lonjakan. Di sisi lain, tingginya elastisitas PNBP terhadap harga komoditas internasional membuat postur fiskal Indonesia sangat rentan terhadap fluktuasi eksternal yang berada di luar kendali otoritas domestik. Target PNBP pada RAPBN 2026 ditetapkan di kisaran Rp455,0 triliun hingga Rp459,2 triliun, yang merepresentasikan sekitar 14,4% dari total pendapatan negara</w:t>
      </w:r>
      <w:r w:rsidDel="00000000" w:rsidR="00000000" w:rsidRPr="00000000">
        <w:rPr>
          <w:rFonts w:ascii="Google Sans" w:cs="Google Sans" w:eastAsia="Google Sans" w:hAnsi="Google Sans"/>
          <w:color w:val="444746"/>
          <w:sz w:val="24"/>
          <w:szCs w:val="24"/>
          <w:vertAlign w:val="superscript"/>
          <w:rtl w:val="0"/>
        </w:rPr>
        <w:t xml:space="preserve">4</w:t>
      </w:r>
      <w:r w:rsidDel="00000000" w:rsidR="00000000" w:rsidRPr="00000000">
        <w:rPr>
          <w:rFonts w:ascii="Google Sans" w:cs="Google Sans" w:eastAsia="Google Sans" w:hAnsi="Google Sans"/>
          <w:color w:val="1f1f1f"/>
          <w:rtl w:val="0"/>
        </w:rPr>
        <w:t xml:space="preserve">.</w:t>
      </w:r>
    </w:p>
    <w:p w:rsidR="00000000" w:rsidDel="00000000" w:rsidP="00000000" w:rsidRDefault="00000000" w:rsidRPr="00000000" w14:paraId="00000038">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Kontributor dominan penyusun PNBP meliputi penerimaan Sumber Daya Alam (SDA) Minyak dan Gas Bumi (Migas), SDA Nonmigas yang didominasi oleh iuran tetap dan royalti dari komoditas batu bara, nikel, tembaga, dan emas, serta Kekayaan Negara yang Dipisahkan (KND) yang berasal dari setoran dividen Badan Usaha Milik Negara (BUMN), dan penerimaan dari Badan Layanan Umum (BLU)</w:t>
      </w:r>
      <w:r w:rsidDel="00000000" w:rsidR="00000000" w:rsidRPr="00000000">
        <w:rPr>
          <w:rFonts w:ascii="Google Sans" w:cs="Google Sans" w:eastAsia="Google Sans" w:hAnsi="Google Sans"/>
          <w:color w:val="444746"/>
          <w:sz w:val="24"/>
          <w:szCs w:val="24"/>
          <w:vertAlign w:val="superscript"/>
          <w:rtl w:val="0"/>
        </w:rPr>
        <w:t xml:space="preserve">32</w:t>
      </w:r>
      <w:r w:rsidDel="00000000" w:rsidR="00000000" w:rsidRPr="00000000">
        <w:rPr>
          <w:rFonts w:ascii="Google Sans" w:cs="Google Sans" w:eastAsia="Google Sans" w:hAnsi="Google Sans"/>
          <w:color w:val="1f1f1f"/>
          <w:rtl w:val="0"/>
        </w:rPr>
        <w:t xml:space="preserve">.</w:t>
      </w:r>
    </w:p>
    <w:p w:rsidR="00000000" w:rsidDel="00000000" w:rsidP="00000000" w:rsidRDefault="00000000" w:rsidRPr="00000000" w14:paraId="00000039">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Faktor volatilitas PNBP sangat bergantung pada pergerakan harga minyak mentah Indonesia (Indonesian Crude Price/ICP) dan nilai tukar Rupiah terhadap Dolar AS. Sepanjang 20 tahun terakhir, siklus komoditas telah berulang kali mengubah arah APBN. Pada periode 2024 hingga 2026, PNBP kembali dihadapkan pada anomali harga akibat eskalasi konflik geopolitik global. Meskipun APBN 2026 awalnya mengasumsikan ICP pada level yang sangat konservatif yakni US$ 70 per barel</w:t>
      </w:r>
      <w:r w:rsidDel="00000000" w:rsidR="00000000" w:rsidRPr="00000000">
        <w:rPr>
          <w:rFonts w:ascii="Google Sans" w:cs="Google Sans" w:eastAsia="Google Sans" w:hAnsi="Google Sans"/>
          <w:color w:val="444746"/>
          <w:sz w:val="24"/>
          <w:szCs w:val="24"/>
          <w:vertAlign w:val="superscript"/>
          <w:rtl w:val="0"/>
        </w:rPr>
        <w:t xml:space="preserve">4</w:t>
      </w:r>
      <w:r w:rsidDel="00000000" w:rsidR="00000000" w:rsidRPr="00000000">
        <w:rPr>
          <w:rFonts w:ascii="Google Sans" w:cs="Google Sans" w:eastAsia="Google Sans" w:hAnsi="Google Sans"/>
          <w:color w:val="1f1f1f"/>
          <w:rtl w:val="0"/>
        </w:rPr>
        <w:t xml:space="preserve">, krisis militer yang melibatkan Amerika Serikat, Israel, dan Iran di kawasan Timur Tengah, serta potensi blokade rute strategis Selat Hormuz, memicu kepanikan luar biasa di pasar energi global</w:t>
      </w:r>
      <w:r w:rsidDel="00000000" w:rsidR="00000000" w:rsidRPr="00000000">
        <w:rPr>
          <w:rFonts w:ascii="Google Sans" w:cs="Google Sans" w:eastAsia="Google Sans" w:hAnsi="Google Sans"/>
          <w:color w:val="444746"/>
          <w:sz w:val="24"/>
          <w:szCs w:val="24"/>
          <w:vertAlign w:val="superscript"/>
          <w:rtl w:val="0"/>
        </w:rPr>
        <w:t xml:space="preserve">36</w:t>
      </w:r>
      <w:r w:rsidDel="00000000" w:rsidR="00000000" w:rsidRPr="00000000">
        <w:rPr>
          <w:rFonts w:ascii="Google Sans" w:cs="Google Sans" w:eastAsia="Google Sans" w:hAnsi="Google Sans"/>
          <w:color w:val="1f1f1f"/>
          <w:rtl w:val="0"/>
        </w:rPr>
        <w:t xml:space="preserve">. Akibatnya, pada bulan Maret 2026, ICP melonjak tajam menyentuh US$ 102,26 per barel, dan terus tereskalasi hingga mencapai US$ 117,31 per barel pada bulan April 2026</w:t>
      </w:r>
      <w:r w:rsidDel="00000000" w:rsidR="00000000" w:rsidRPr="00000000">
        <w:rPr>
          <w:rFonts w:ascii="Google Sans" w:cs="Google Sans" w:eastAsia="Google Sans" w:hAnsi="Google Sans"/>
          <w:color w:val="444746"/>
          <w:sz w:val="24"/>
          <w:szCs w:val="24"/>
          <w:vertAlign w:val="superscript"/>
          <w:rtl w:val="0"/>
        </w:rPr>
        <w:t xml:space="preserve">35</w:t>
      </w:r>
      <w:r w:rsidDel="00000000" w:rsidR="00000000" w:rsidRPr="00000000">
        <w:rPr>
          <w:rFonts w:ascii="Google Sans" w:cs="Google Sans" w:eastAsia="Google Sans" w:hAnsi="Google Sans"/>
          <w:color w:val="1f1f1f"/>
          <w:rtl w:val="0"/>
        </w:rPr>
        <w:t xml:space="preserve">.</w:t>
      </w:r>
    </w:p>
    <w:p w:rsidR="00000000" w:rsidDel="00000000" w:rsidP="00000000" w:rsidRDefault="00000000" w:rsidRPr="00000000" w14:paraId="0000003A">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Lonjakan ICP ini berimplikasi ganda secara seketika. Pada ranah pendapatan, realisasi PNBP SDA Migas hingga pertengahan tahun 2026 terdorong naik secara signifikan sebesar 15,3% mencapai Rp 47,7 triliun, sementara SDA Nonmigas terdorong oleh harga mineral utama ke angka Rp 65,8 triliun (tumbuh 15,6% secara tahunan)</w:t>
      </w:r>
      <w:r w:rsidDel="00000000" w:rsidR="00000000" w:rsidRPr="00000000">
        <w:rPr>
          <w:rFonts w:ascii="Google Sans" w:cs="Google Sans" w:eastAsia="Google Sans" w:hAnsi="Google Sans"/>
          <w:color w:val="444746"/>
          <w:sz w:val="24"/>
          <w:szCs w:val="24"/>
          <w:vertAlign w:val="superscript"/>
          <w:rtl w:val="0"/>
        </w:rPr>
        <w:t xml:space="preserve">33</w:t>
      </w:r>
      <w:r w:rsidDel="00000000" w:rsidR="00000000" w:rsidRPr="00000000">
        <w:rPr>
          <w:rFonts w:ascii="Google Sans" w:cs="Google Sans" w:eastAsia="Google Sans" w:hAnsi="Google Sans"/>
          <w:color w:val="1f1f1f"/>
          <w:rtl w:val="0"/>
        </w:rPr>
        <w:t xml:space="preserve">. Total PNBP pada lima bulan pertama 2026 mencapai Rp226,4 triliun (tumbuh 19,9%), kembali menegaskan fungsinya sebagai peredam kejut di saat penerimaan pajak sedang mengalami konsolidasi</w:t>
      </w:r>
      <w:r w:rsidDel="00000000" w:rsidR="00000000" w:rsidRPr="00000000">
        <w:rPr>
          <w:rFonts w:ascii="Google Sans" w:cs="Google Sans" w:eastAsia="Google Sans" w:hAnsi="Google Sans"/>
          <w:color w:val="444746"/>
          <w:sz w:val="24"/>
          <w:szCs w:val="24"/>
          <w:vertAlign w:val="superscript"/>
          <w:rtl w:val="0"/>
        </w:rPr>
        <w:t xml:space="preserve">33</w:t>
      </w:r>
      <w:r w:rsidDel="00000000" w:rsidR="00000000" w:rsidRPr="00000000">
        <w:rPr>
          <w:rFonts w:ascii="Google Sans" w:cs="Google Sans" w:eastAsia="Google Sans" w:hAnsi="Google Sans"/>
          <w:color w:val="1f1f1f"/>
          <w:rtl w:val="0"/>
        </w:rPr>
        <w:t xml:space="preserve">. Selain dari sektor ekstraktif komoditas, performa BLU—terutama yang bersumber dari peningkatan pendapatan layanan kesehatan rumah sakit pemerintah dan tarif pungutan ekspor CPO—serta PNBP lainnya yang didorong oleh denda administratif penertiban kawasan hutan turut berkontribusi menjaga stabilitas pos penerimaan ini</w:t>
      </w:r>
      <w:r w:rsidDel="00000000" w:rsidR="00000000" w:rsidRPr="00000000">
        <w:rPr>
          <w:rFonts w:ascii="Google Sans" w:cs="Google Sans" w:eastAsia="Google Sans" w:hAnsi="Google Sans"/>
          <w:color w:val="444746"/>
          <w:sz w:val="24"/>
          <w:szCs w:val="24"/>
          <w:vertAlign w:val="superscript"/>
          <w:rtl w:val="0"/>
        </w:rPr>
        <w:t xml:space="preserve">33</w:t>
      </w:r>
      <w:r w:rsidDel="00000000" w:rsidR="00000000" w:rsidRPr="00000000">
        <w:rPr>
          <w:rFonts w:ascii="Google Sans" w:cs="Google Sans" w:eastAsia="Google Sans" w:hAnsi="Google Sans"/>
          <w:color w:val="1f1f1f"/>
          <w:rtl w:val="0"/>
        </w:rPr>
        <w:t xml:space="preserve">.</w:t>
      </w:r>
    </w:p>
    <w:p w:rsidR="00000000" w:rsidDel="00000000" w:rsidP="00000000" w:rsidRDefault="00000000" w:rsidRPr="00000000" w14:paraId="0000003B">
      <w:pPr>
        <w:pStyle w:val="Heading2"/>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Transformasi Tiga Besar Pos Pengeluaran Negara (2006–2026)</w:t>
      </w:r>
    </w:p>
    <w:p w:rsidR="00000000" w:rsidDel="00000000" w:rsidP="00000000" w:rsidRDefault="00000000" w:rsidRPr="00000000" w14:paraId="0000003C">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Analisis komprehensif terhadap komponen belanja negara mengungkap narasi mendalam mengenai pergeseran prioritas politik, dinamika tuntutan desentralisasi, dan manifestasi akumulasi risiko fiskal yang terbangun selama dua dekade. Tiga pos pengeluaran terbesar yang secara absolut mendominasi kerangka APBN adalah Belanja Pemerintah Pusat (yang di dalamnya mencakup Belanja Pegawai dan Belanja Barang/Modal), Transfer ke Daerah (TKD), serta Pembayaran Bunga Utang yang belakangan ini mendesak ruang belanja produktif.</w:t>
      </w:r>
    </w:p>
    <w:p w:rsidR="00000000" w:rsidDel="00000000" w:rsidP="00000000" w:rsidRDefault="00000000" w:rsidRPr="00000000" w14:paraId="0000003D">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Tabel berikut menyajikan rekam jejak persentase kontribusi tiga besar pos pengeluaran terhadap total belanja negara.</w:t>
      </w:r>
    </w:p>
    <w:tbl>
      <w:tblPr>
        <w:tblStyle w:val="Table2"/>
        <w:tblW w:w="9360.0" w:type="dxa"/>
        <w:jc w:val="left"/>
        <w:tblBorders>
          <w:top w:color="c4c7c5" w:space="0" w:sz="6" w:val="single"/>
          <w:left w:color="c4c7c5" w:space="0" w:sz="6" w:val="single"/>
          <w:bottom w:color="c4c7c5" w:space="0" w:sz="6" w:val="single"/>
          <w:right w:color="c4c7c5" w:space="0" w:sz="6" w:val="single"/>
          <w:insideH w:color="c4c7c5" w:space="0" w:sz="6" w:val="single"/>
          <w:insideV w:color="c4c7c5" w:space="0" w:sz="6" w:val="single"/>
        </w:tblBorders>
        <w:tblLayout w:type="fixed"/>
        <w:tblLook w:val="0600"/>
      </w:tblPr>
      <w:tblGrid>
        <w:gridCol w:w="1872"/>
        <w:gridCol w:w="1872"/>
        <w:gridCol w:w="1872"/>
        <w:gridCol w:w="1872"/>
        <w:gridCol w:w="1872"/>
        <w:tblGridChange w:id="0">
          <w:tblGrid>
            <w:gridCol w:w="1872"/>
            <w:gridCol w:w="1872"/>
            <w:gridCol w:w="1872"/>
            <w:gridCol w:w="1872"/>
            <w:gridCol w:w="1872"/>
          </w:tblGrid>
        </w:tblGridChange>
      </w:tblGrid>
      <w:tr>
        <w:trPr>
          <w:cantSplit w:val="0"/>
          <w:tblHeader w:val="0"/>
        </w:trPr>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3E">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rPr>
            </w:pPr>
            <w:r w:rsidDel="00000000" w:rsidR="00000000" w:rsidRPr="00000000">
              <w:rPr>
                <w:rFonts w:ascii="Google Sans" w:cs="Google Sans" w:eastAsia="Google Sans" w:hAnsi="Google Sans"/>
                <w:b w:val="1"/>
                <w:bCs w:val="1"/>
                <w:color w:val="1f1f1f"/>
                <w:rtl w:val="0"/>
              </w:rPr>
              <w:t xml:space="preserve">Tahun Anggaran</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3F">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rPr>
            </w:pPr>
            <w:r w:rsidDel="00000000" w:rsidR="00000000" w:rsidRPr="00000000">
              <w:rPr>
                <w:rFonts w:ascii="Google Sans" w:cs="Google Sans" w:eastAsia="Google Sans" w:hAnsi="Google Sans"/>
                <w:b w:val="1"/>
                <w:bCs w:val="1"/>
                <w:color w:val="1f1f1f"/>
                <w:rtl w:val="0"/>
              </w:rPr>
              <w:t xml:space="preserve">Total Belanja Negara (Triliun Rp)</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40">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rPr>
            </w:pPr>
            <w:r w:rsidDel="00000000" w:rsidR="00000000" w:rsidRPr="00000000">
              <w:rPr>
                <w:rFonts w:ascii="Google Sans" w:cs="Google Sans" w:eastAsia="Google Sans" w:hAnsi="Google Sans"/>
                <w:b w:val="1"/>
                <w:bCs w:val="1"/>
                <w:color w:val="1f1f1f"/>
                <w:rtl w:val="0"/>
              </w:rPr>
              <w:t xml:space="preserve">Proporsi Belanja K/L (Pusat)</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41">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rPr>
            </w:pPr>
            <w:r w:rsidDel="00000000" w:rsidR="00000000" w:rsidRPr="00000000">
              <w:rPr>
                <w:rFonts w:ascii="Google Sans" w:cs="Google Sans" w:eastAsia="Google Sans" w:hAnsi="Google Sans"/>
                <w:b w:val="1"/>
                <w:bCs w:val="1"/>
                <w:color w:val="1f1f1f"/>
                <w:rtl w:val="0"/>
              </w:rPr>
              <w:t xml:space="preserve">Proporsi Transfer ke Daerah (TKD)</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42">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rPr>
            </w:pPr>
            <w:r w:rsidDel="00000000" w:rsidR="00000000" w:rsidRPr="00000000">
              <w:rPr>
                <w:rFonts w:ascii="Google Sans" w:cs="Google Sans" w:eastAsia="Google Sans" w:hAnsi="Google Sans"/>
                <w:b w:val="1"/>
                <w:bCs w:val="1"/>
                <w:color w:val="1f1f1f"/>
                <w:rtl w:val="0"/>
              </w:rPr>
              <w:t xml:space="preserve">Proporsi Bunga Utang &amp; Subsidi (Non-K/L)</w:t>
            </w:r>
          </w:p>
        </w:tc>
      </w:tr>
      <w:tr>
        <w:trPr>
          <w:cantSplit w:val="0"/>
          <w:tblHeader w:val="0"/>
        </w:trPr>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43">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rPr>
            </w:pPr>
            <w:r w:rsidDel="00000000" w:rsidR="00000000" w:rsidRPr="00000000">
              <w:rPr>
                <w:rFonts w:ascii="Google Sans" w:cs="Google Sans" w:eastAsia="Google Sans" w:hAnsi="Google Sans"/>
                <w:b w:val="1"/>
                <w:bCs w:val="1"/>
                <w:color w:val="1f1f1f"/>
                <w:rtl w:val="0"/>
              </w:rPr>
              <w:t xml:space="preserve">2010 (Realisasi)</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44">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1.042,1</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45">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~25,0%</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46">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~33,0%</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47">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~42,0%</w:t>
            </w:r>
          </w:p>
        </w:tc>
      </w:tr>
      <w:tr>
        <w:trPr>
          <w:cantSplit w:val="0"/>
          <w:tblHeader w:val="0"/>
        </w:trPr>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48">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rPr>
            </w:pPr>
            <w:r w:rsidDel="00000000" w:rsidR="00000000" w:rsidRPr="00000000">
              <w:rPr>
                <w:rFonts w:ascii="Google Sans" w:cs="Google Sans" w:eastAsia="Google Sans" w:hAnsi="Google Sans"/>
                <w:b w:val="1"/>
                <w:bCs w:val="1"/>
                <w:color w:val="1f1f1f"/>
                <w:rtl w:val="0"/>
              </w:rPr>
              <w:t xml:space="preserve">2015 (Realisasi LKPP)</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49">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1.806,0</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4A">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~31,0%</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4B">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~34,5%</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4C">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~34,5%</w:t>
            </w:r>
          </w:p>
        </w:tc>
      </w:tr>
      <w:tr>
        <w:trPr>
          <w:cantSplit w:val="0"/>
          <w:tblHeader w:val="0"/>
        </w:trPr>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4D">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rPr>
            </w:pPr>
            <w:r w:rsidDel="00000000" w:rsidR="00000000" w:rsidRPr="00000000">
              <w:rPr>
                <w:rFonts w:ascii="Google Sans" w:cs="Google Sans" w:eastAsia="Google Sans" w:hAnsi="Google Sans"/>
                <w:b w:val="1"/>
                <w:bCs w:val="1"/>
                <w:color w:val="1f1f1f"/>
                <w:rtl w:val="0"/>
              </w:rPr>
              <w:t xml:space="preserve">2019 (Pra-Pandemi)</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4E">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2.309,3</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4F">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~36,7%</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50">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~35,2%</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51">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~28,1%</w:t>
            </w:r>
          </w:p>
        </w:tc>
      </w:tr>
      <w:tr>
        <w:trPr>
          <w:cantSplit w:val="0"/>
          <w:tblHeader w:val="0"/>
        </w:trPr>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52">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rPr>
            </w:pPr>
            <w:r w:rsidDel="00000000" w:rsidR="00000000" w:rsidRPr="00000000">
              <w:rPr>
                <w:rFonts w:ascii="Google Sans" w:cs="Google Sans" w:eastAsia="Google Sans" w:hAnsi="Google Sans"/>
                <w:b w:val="1"/>
                <w:bCs w:val="1"/>
                <w:color w:val="1f1f1f"/>
                <w:rtl w:val="0"/>
              </w:rPr>
              <w:t xml:space="preserve">2020 (Era Pandemi)</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53">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2.589,9</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54">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~32,0%</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55">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~29,4%</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56">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~38,6%</w:t>
            </w:r>
          </w:p>
        </w:tc>
      </w:tr>
      <w:tr>
        <w:trPr>
          <w:cantSplit w:val="0"/>
          <w:tblHeader w:val="0"/>
        </w:trPr>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57">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rPr>
            </w:pPr>
            <w:r w:rsidDel="00000000" w:rsidR="00000000" w:rsidRPr="00000000">
              <w:rPr>
                <w:rFonts w:ascii="Google Sans" w:cs="Google Sans" w:eastAsia="Google Sans" w:hAnsi="Google Sans"/>
                <w:b w:val="1"/>
                <w:bCs w:val="1"/>
                <w:color w:val="1f1f1f"/>
                <w:rtl w:val="0"/>
              </w:rPr>
              <w:t xml:space="preserve">2024 (Pasca-Pemulihan)</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58">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3.325,1</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59">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~35,2%</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5A">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~25,8%</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5B">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~39,0%</w:t>
            </w:r>
          </w:p>
        </w:tc>
      </w:tr>
      <w:tr>
        <w:trPr>
          <w:cantSplit w:val="0"/>
          <w:tblHeader w:val="0"/>
        </w:trPr>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5C">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rPr>
            </w:pPr>
            <w:r w:rsidDel="00000000" w:rsidR="00000000" w:rsidRPr="00000000">
              <w:rPr>
                <w:rFonts w:ascii="Google Sans" w:cs="Google Sans" w:eastAsia="Google Sans" w:hAnsi="Google Sans"/>
                <w:b w:val="1"/>
                <w:bCs w:val="1"/>
                <w:color w:val="1f1f1f"/>
                <w:rtl w:val="0"/>
              </w:rPr>
              <w:t xml:space="preserve">2026 (Target APBN)</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5D">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3.786,5</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5E">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~39,5%</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5F">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~17,1%</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60">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~43,4%</w:t>
            </w:r>
          </w:p>
        </w:tc>
      </w:tr>
    </w:tbl>
    <w:p w:rsidR="00000000" w:rsidDel="00000000" w:rsidP="00000000" w:rsidRDefault="00000000" w:rsidRPr="00000000" w14:paraId="00000061">
      <w:pPr>
        <w:pBdr>
          <w:top w:space="0" w:sz="0" w:val="nil"/>
          <w:left w:space="0" w:sz="0" w:val="nil"/>
          <w:bottom w:space="0" w:sz="0" w:val="nil"/>
          <w:right w:space="0" w:sz="0" w:val="nil"/>
          <w:between w:space="0" w:sz="0" w:val="nil"/>
        </w:pBdr>
        <w:shd w:fill="auto" w:val="clear"/>
        <w:spacing w:before="48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i w:val="1"/>
          <w:iCs w:val="1"/>
          <w:color w:val="1f1f1f"/>
          <w:rtl w:val="0"/>
        </w:rPr>
        <w:t xml:space="preserve">Catatan: Kalkulasi didasarkan pada agregasi data LRA dan target APBN, di mana Bunga Utang dan Subsidi dikelompokkan dalam rumpun Belanja Non-K/L yang pertumbuhannya semakin agresif</w:t>
      </w:r>
      <w:r w:rsidDel="00000000" w:rsidR="00000000" w:rsidRPr="00000000">
        <w:rPr>
          <w:rFonts w:ascii="Google Sans" w:cs="Google Sans" w:eastAsia="Google Sans" w:hAnsi="Google Sans"/>
          <w:color w:val="444746"/>
          <w:sz w:val="24"/>
          <w:szCs w:val="24"/>
          <w:vertAlign w:val="superscript"/>
          <w:rtl w:val="0"/>
        </w:rPr>
        <w:t xml:space="preserve">7</w:t>
      </w:r>
      <w:r w:rsidDel="00000000" w:rsidR="00000000" w:rsidRPr="00000000">
        <w:rPr>
          <w:rFonts w:ascii="Google Sans" w:cs="Google Sans" w:eastAsia="Google Sans" w:hAnsi="Google Sans"/>
          <w:color w:val="1f1f1f"/>
          <w:rtl w:val="0"/>
        </w:rPr>
        <w:t xml:space="preserve">.</w:t>
      </w:r>
    </w:p>
    <w:p w:rsidR="00000000" w:rsidDel="00000000" w:rsidP="00000000" w:rsidRDefault="00000000" w:rsidRPr="00000000" w14:paraId="00000062">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Dinamika Transfer ke Daerah (TKD) dan Paradigma Kesatuan Fiskal</w:t>
      </w:r>
    </w:p>
    <w:p w:rsidR="00000000" w:rsidDel="00000000" w:rsidP="00000000" w:rsidRDefault="00000000" w:rsidRPr="00000000" w14:paraId="00000063">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Transfer ke Daerah (TKD), yang dalam terminologi sebelumnya sering direferensikan sebagai Transfer ke Daerah dan Dana Desa (TKDD), merupakan wujud nyata komitmen konstitusional terhadap desentralisasi fiskal. Sejak tahun 2006, pos ini secara konsisten terus membesar guna menutup celah ketimpangan vertikal (vertical imbalance antara pusat dan daerah) maupun ketimpangan horizontal (horizontal imbalance antar-daerah di seluruh nusantara)</w:t>
      </w:r>
      <w:r w:rsidDel="00000000" w:rsidR="00000000" w:rsidRPr="00000000">
        <w:rPr>
          <w:rFonts w:ascii="Google Sans" w:cs="Google Sans" w:eastAsia="Google Sans" w:hAnsi="Google Sans"/>
          <w:color w:val="444746"/>
          <w:sz w:val="24"/>
          <w:szCs w:val="24"/>
          <w:vertAlign w:val="superscript"/>
          <w:rtl w:val="0"/>
        </w:rPr>
        <w:t xml:space="preserve">41</w:t>
      </w:r>
      <w:r w:rsidDel="00000000" w:rsidR="00000000" w:rsidRPr="00000000">
        <w:rPr>
          <w:rFonts w:ascii="Google Sans" w:cs="Google Sans" w:eastAsia="Google Sans" w:hAnsi="Google Sans"/>
          <w:color w:val="1f1f1f"/>
          <w:rtl w:val="0"/>
        </w:rPr>
        <w:t xml:space="preserve">. Instrumen penyaluran utamanya meliputi Dana Bagi Hasil (DBH), Dana Alokasi Umum (DAU), Dana Alokasi Khusus (DAK), serta Dana Otonomi Khusus dan Dana Desa.</w:t>
      </w:r>
    </w:p>
    <w:p w:rsidR="00000000" w:rsidDel="00000000" w:rsidP="00000000" w:rsidRDefault="00000000" w:rsidRPr="00000000" w14:paraId="00000064">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Pada masa puncaknya (sekitar periode 2015 hingga 2020), TKD menyita porsi lebih dari sepertiga total belanja negara</w:t>
      </w:r>
      <w:r w:rsidDel="00000000" w:rsidR="00000000" w:rsidRPr="00000000">
        <w:rPr>
          <w:rFonts w:ascii="Google Sans" w:cs="Google Sans" w:eastAsia="Google Sans" w:hAnsi="Google Sans"/>
          <w:color w:val="444746"/>
          <w:sz w:val="24"/>
          <w:szCs w:val="24"/>
          <w:vertAlign w:val="superscript"/>
          <w:rtl w:val="0"/>
        </w:rPr>
        <w:t xml:space="preserve">40</w:t>
      </w:r>
      <w:r w:rsidDel="00000000" w:rsidR="00000000" w:rsidRPr="00000000">
        <w:rPr>
          <w:rFonts w:ascii="Google Sans" w:cs="Google Sans" w:eastAsia="Google Sans" w:hAnsi="Google Sans"/>
          <w:color w:val="1f1f1f"/>
          <w:rtl w:val="0"/>
        </w:rPr>
        <w:t xml:space="preserve">. Namun, besarnya transfer ini berulang kali dihadapkan pada masalah inefisiensi. Pemerintah daerah kerap menumpuk dana di perbankan yang berujung pada tingginya Sisa Lebih Perhitungan Anggaran (SiLPA) serta rendahnya orientasi belanja pada hasil (quality spending)</w:t>
      </w:r>
      <w:r w:rsidDel="00000000" w:rsidR="00000000" w:rsidRPr="00000000">
        <w:rPr>
          <w:rFonts w:ascii="Google Sans" w:cs="Google Sans" w:eastAsia="Google Sans" w:hAnsi="Google Sans"/>
          <w:color w:val="444746"/>
          <w:sz w:val="24"/>
          <w:szCs w:val="24"/>
          <w:vertAlign w:val="superscript"/>
          <w:rtl w:val="0"/>
        </w:rPr>
        <w:t xml:space="preserve">41</w:t>
      </w:r>
      <w:r w:rsidDel="00000000" w:rsidR="00000000" w:rsidRPr="00000000">
        <w:rPr>
          <w:rFonts w:ascii="Google Sans" w:cs="Google Sans" w:eastAsia="Google Sans" w:hAnsi="Google Sans"/>
          <w:color w:val="1f1f1f"/>
          <w:rtl w:val="0"/>
        </w:rPr>
        <w:t xml:space="preserve">. Untuk merespons disfungsi tersebut, pemerintah merumuskan dan menerbitkan Undang-Undang Nomor 1 Tahun 2022 tentang Hubungan Keuangan Antara Pemerintah Pusat dan Pemerintahan Daerah (UU HKPD)</w:t>
      </w:r>
      <w:r w:rsidDel="00000000" w:rsidR="00000000" w:rsidRPr="00000000">
        <w:rPr>
          <w:rFonts w:ascii="Google Sans" w:cs="Google Sans" w:eastAsia="Google Sans" w:hAnsi="Google Sans"/>
          <w:color w:val="444746"/>
          <w:sz w:val="24"/>
          <w:szCs w:val="24"/>
          <w:vertAlign w:val="superscript"/>
          <w:rtl w:val="0"/>
        </w:rPr>
        <w:t xml:space="preserve">41</w:t>
      </w:r>
      <w:r w:rsidDel="00000000" w:rsidR="00000000" w:rsidRPr="00000000">
        <w:rPr>
          <w:rFonts w:ascii="Google Sans" w:cs="Google Sans" w:eastAsia="Google Sans" w:hAnsi="Google Sans"/>
          <w:color w:val="1f1f1f"/>
          <w:rtl w:val="0"/>
        </w:rPr>
        <w:t xml:space="preserve">. Kehadiran UU HKPD bertujuan me-redesain alokasi DAU agar lebih spesifik berdasarkan unit cost dan target layanan (earmarked), mereformulasi DBH berbasis kinerja pengelolaan lingkungan, serta mewajibkan daerah untuk mengalokasikan persentase tertentu dari APBD murni untuk belanja infrastruktur pelayanan dasar</w:t>
      </w:r>
      <w:r w:rsidDel="00000000" w:rsidR="00000000" w:rsidRPr="00000000">
        <w:rPr>
          <w:rFonts w:ascii="Google Sans" w:cs="Google Sans" w:eastAsia="Google Sans" w:hAnsi="Google Sans"/>
          <w:color w:val="444746"/>
          <w:sz w:val="24"/>
          <w:szCs w:val="24"/>
          <w:vertAlign w:val="superscript"/>
          <w:rtl w:val="0"/>
        </w:rPr>
        <w:t xml:space="preserve">41</w:t>
      </w:r>
      <w:r w:rsidDel="00000000" w:rsidR="00000000" w:rsidRPr="00000000">
        <w:rPr>
          <w:rFonts w:ascii="Google Sans" w:cs="Google Sans" w:eastAsia="Google Sans" w:hAnsi="Google Sans"/>
          <w:color w:val="1f1f1f"/>
          <w:rtl w:val="0"/>
        </w:rPr>
        <w:t xml:space="preserve">.</w:t>
      </w:r>
    </w:p>
    <w:p w:rsidR="00000000" w:rsidDel="00000000" w:rsidP="00000000" w:rsidRDefault="00000000" w:rsidRPr="00000000" w14:paraId="00000065">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Perubahan paling radikal dan anomali struktural terbesar sepanjang sejarah desentralisasi terjadi pada struktur APBN 2026. Alokasi TKD diproyeksikan merosot tajam menjadi hanya Rp650 triliun (atau dalam klasifikasi rekonsiliasi lain dicatat sebesar Rp692,9 triliun), yang merepresentasikan kejatuhan ekstrem dari porsi historisnya menjadi hanya sekitar 17,1% dari total belanja negara</w:t>
      </w:r>
      <w:r w:rsidDel="00000000" w:rsidR="00000000" w:rsidRPr="00000000">
        <w:rPr>
          <w:rFonts w:ascii="Google Sans" w:cs="Google Sans" w:eastAsia="Google Sans" w:hAnsi="Google Sans"/>
          <w:color w:val="444746"/>
          <w:sz w:val="24"/>
          <w:szCs w:val="24"/>
          <w:vertAlign w:val="superscript"/>
          <w:rtl w:val="0"/>
        </w:rPr>
        <w:t xml:space="preserve">7</w:t>
      </w:r>
      <w:r w:rsidDel="00000000" w:rsidR="00000000" w:rsidRPr="00000000">
        <w:rPr>
          <w:rFonts w:ascii="Google Sans" w:cs="Google Sans" w:eastAsia="Google Sans" w:hAnsi="Google Sans"/>
          <w:color w:val="1f1f1f"/>
          <w:rtl w:val="0"/>
        </w:rPr>
        <w:t xml:space="preserve">. Penurunan nominal ini mencapai lebih dari Rp214 triliun jika dibandingkan dengan outlook tahun sebelumnya</w:t>
      </w:r>
      <w:r w:rsidDel="00000000" w:rsidR="00000000" w:rsidRPr="00000000">
        <w:rPr>
          <w:rFonts w:ascii="Google Sans" w:cs="Google Sans" w:eastAsia="Google Sans" w:hAnsi="Google Sans"/>
          <w:color w:val="444746"/>
          <w:sz w:val="24"/>
          <w:szCs w:val="24"/>
          <w:vertAlign w:val="superscript"/>
          <w:rtl w:val="0"/>
        </w:rPr>
        <w:t xml:space="preserve">38</w:t>
      </w:r>
      <w:r w:rsidDel="00000000" w:rsidR="00000000" w:rsidRPr="00000000">
        <w:rPr>
          <w:rFonts w:ascii="Google Sans" w:cs="Google Sans" w:eastAsia="Google Sans" w:hAnsi="Google Sans"/>
          <w:color w:val="1f1f1f"/>
          <w:rtl w:val="0"/>
        </w:rPr>
        <w:t xml:space="preserve">. Faktor penyebab penurunan drastis ini bukanlah bentuk pengingkaran terhadap komitmen desentralisasi, melainkan implementasi transisi kebijakan menuju kesatuan fiskal (fiscal unity) yang dikendalikan oleh pemerintah pusat</w:t>
      </w:r>
      <w:r w:rsidDel="00000000" w:rsidR="00000000" w:rsidRPr="00000000">
        <w:rPr>
          <w:rFonts w:ascii="Google Sans" w:cs="Google Sans" w:eastAsia="Google Sans" w:hAnsi="Google Sans"/>
          <w:color w:val="444746"/>
          <w:sz w:val="24"/>
          <w:szCs w:val="24"/>
          <w:vertAlign w:val="superscript"/>
          <w:rtl w:val="0"/>
        </w:rPr>
        <w:t xml:space="preserve">46</w:t>
      </w:r>
      <w:r w:rsidDel="00000000" w:rsidR="00000000" w:rsidRPr="00000000">
        <w:rPr>
          <w:rFonts w:ascii="Google Sans" w:cs="Google Sans" w:eastAsia="Google Sans" w:hAnsi="Google Sans"/>
          <w:color w:val="1f1f1f"/>
          <w:rtl w:val="0"/>
        </w:rPr>
        <w:t xml:space="preserve">. Pemerintah secara sadar menarik kembali pengelolaan anggaran dari berbagai program prioritas, khususnya jaring perlindungan sosial (seperti Program Keluarga Harapan/PKH, Bantuan Iuran JKN, Kartu Sembako), serta operasional infrastruktur pendidikan untuk dieksekusi secara terpusat oleh Kementerian/Lembaga terkait</w:t>
      </w:r>
      <w:r w:rsidDel="00000000" w:rsidR="00000000" w:rsidRPr="00000000">
        <w:rPr>
          <w:rFonts w:ascii="Google Sans" w:cs="Google Sans" w:eastAsia="Google Sans" w:hAnsi="Google Sans"/>
          <w:color w:val="444746"/>
          <w:sz w:val="24"/>
          <w:szCs w:val="24"/>
          <w:vertAlign w:val="superscript"/>
          <w:rtl w:val="0"/>
        </w:rPr>
        <w:t xml:space="preserve">38</w:t>
      </w:r>
      <w:r w:rsidDel="00000000" w:rsidR="00000000" w:rsidRPr="00000000">
        <w:rPr>
          <w:rFonts w:ascii="Google Sans" w:cs="Google Sans" w:eastAsia="Google Sans" w:hAnsi="Google Sans"/>
          <w:color w:val="1f1f1f"/>
          <w:rtl w:val="0"/>
        </w:rPr>
        <w:t xml:space="preserve">. Strategi sentralisasi ini dinilai mampu memangkas rantai birokrasi perantara tingkat daerah, meminimalisasi kebocoran, mempercepat akselerasi serapan anggaran secara merata sepanjang tahun berjalan, dan memastikan hakikat pengiriman (delivery) layanan langsung menyentuh masyarakat rentan tanpa kendala politik lokal</w:t>
      </w:r>
      <w:r w:rsidDel="00000000" w:rsidR="00000000" w:rsidRPr="00000000">
        <w:rPr>
          <w:rFonts w:ascii="Google Sans" w:cs="Google Sans" w:eastAsia="Google Sans" w:hAnsi="Google Sans"/>
          <w:color w:val="444746"/>
          <w:sz w:val="24"/>
          <w:szCs w:val="24"/>
          <w:vertAlign w:val="superscript"/>
          <w:rtl w:val="0"/>
        </w:rPr>
        <w:t xml:space="preserve">46</w:t>
      </w:r>
      <w:r w:rsidDel="00000000" w:rsidR="00000000" w:rsidRPr="00000000">
        <w:rPr>
          <w:rFonts w:ascii="Google Sans" w:cs="Google Sans" w:eastAsia="Google Sans" w:hAnsi="Google Sans"/>
          <w:color w:val="1f1f1f"/>
          <w:rtl w:val="0"/>
        </w:rPr>
        <w:t xml:space="preserve">.</w:t>
      </w:r>
    </w:p>
    <w:p w:rsidR="00000000" w:rsidDel="00000000" w:rsidP="00000000" w:rsidRDefault="00000000" w:rsidRPr="00000000" w14:paraId="00000066">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Pergeseran Belanja Kementerian/Lembaga (K/L): Dari Infrastruktur ke Investasi Sosial</w:t>
      </w:r>
    </w:p>
    <w:p w:rsidR="00000000" w:rsidDel="00000000" w:rsidP="00000000" w:rsidRDefault="00000000" w:rsidRPr="00000000" w14:paraId="00000067">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Belanja Kementerian/Lembaga (K/L) merupakan sarana utama eksekusi visi dan kebijakan presiden terpilih. Sejak 2006, komponen ini tumbuh dengan porsi Belanja Pegawai yang cukup mendominasi dan kaku. Pada era administrasi pemerintahan 2005-2014, porsi belanja pegawai berkisar di angka 18,65%, kemudian melonjak melampaui 25% pada era 2015-2019, sebelum secara bertahap dirasionalisasi turun ke kisaran 19,30% pada tahun 2025</w:t>
      </w:r>
      <w:r w:rsidDel="00000000" w:rsidR="00000000" w:rsidRPr="00000000">
        <w:rPr>
          <w:rFonts w:ascii="Google Sans" w:cs="Google Sans" w:eastAsia="Google Sans" w:hAnsi="Google Sans"/>
          <w:color w:val="444746"/>
          <w:sz w:val="24"/>
          <w:szCs w:val="24"/>
          <w:vertAlign w:val="superscript"/>
          <w:rtl w:val="0"/>
        </w:rPr>
        <w:t xml:space="preserve">47</w:t>
      </w:r>
      <w:r w:rsidDel="00000000" w:rsidR="00000000" w:rsidRPr="00000000">
        <w:rPr>
          <w:rFonts w:ascii="Google Sans" w:cs="Google Sans" w:eastAsia="Google Sans" w:hAnsi="Google Sans"/>
          <w:color w:val="1f1f1f"/>
          <w:rtl w:val="0"/>
        </w:rPr>
        <w:t xml:space="preserve">. Belanja Barang justru mencatat lonjakan tak terkendali pada satu dekade terakhir, yang pada awalnya dimaksudkan untuk membiayai operasional birokrasi dan perjalanan dinas, kini lebih banyak diklasifikasikan untuk program bantuan yang diserahkan langsung kepada masyarakat dalam bentuk barang</w:t>
      </w:r>
      <w:r w:rsidDel="00000000" w:rsidR="00000000" w:rsidRPr="00000000">
        <w:rPr>
          <w:rFonts w:ascii="Google Sans" w:cs="Google Sans" w:eastAsia="Google Sans" w:hAnsi="Google Sans"/>
          <w:color w:val="444746"/>
          <w:sz w:val="24"/>
          <w:szCs w:val="24"/>
          <w:vertAlign w:val="superscript"/>
          <w:rtl w:val="0"/>
        </w:rPr>
        <w:t xml:space="preserve">47</w:t>
      </w:r>
      <w:r w:rsidDel="00000000" w:rsidR="00000000" w:rsidRPr="00000000">
        <w:rPr>
          <w:rFonts w:ascii="Google Sans" w:cs="Google Sans" w:eastAsia="Google Sans" w:hAnsi="Google Sans"/>
          <w:color w:val="1f1f1f"/>
          <w:rtl w:val="0"/>
        </w:rPr>
        <w:t xml:space="preserve">.</w:t>
      </w:r>
    </w:p>
    <w:p w:rsidR="00000000" w:rsidDel="00000000" w:rsidP="00000000" w:rsidRDefault="00000000" w:rsidRPr="00000000" w14:paraId="00000068">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Pada siklus APBN 2026, terjadi pergeseran paradigma (shifting paradigm) yang sangat fundamental terkait klasifikasi dan alokasi Belanja K/L. Belanja pemerintah pusat melalui jalur K/L melonjak tajam secara tahunan sebesar 17,5% menembus angka Rp1.498,3 triliun (mengambil porsi hampir 39,5% dari total belanja negara)</w:t>
      </w:r>
      <w:r w:rsidDel="00000000" w:rsidR="00000000" w:rsidRPr="00000000">
        <w:rPr>
          <w:rFonts w:ascii="Google Sans" w:cs="Google Sans" w:eastAsia="Google Sans" w:hAnsi="Google Sans"/>
          <w:color w:val="444746"/>
          <w:sz w:val="24"/>
          <w:szCs w:val="24"/>
          <w:vertAlign w:val="superscript"/>
          <w:rtl w:val="0"/>
        </w:rPr>
        <w:t xml:space="preserve">7</w:t>
      </w:r>
      <w:r w:rsidDel="00000000" w:rsidR="00000000" w:rsidRPr="00000000">
        <w:rPr>
          <w:rFonts w:ascii="Google Sans" w:cs="Google Sans" w:eastAsia="Google Sans" w:hAnsi="Google Sans"/>
          <w:color w:val="1f1f1f"/>
          <w:rtl w:val="0"/>
        </w:rPr>
        <w:t xml:space="preserve">. Faktor utama di balik ledakan belanja operasional pusat ini adalah intervensi program populis berskala raksasa dari administrasi pemerintahan baru, utamanya program Makan Bergizi Gratis (MBG) yang menargetkan pemberian nutrisi harian untuk 82,9 juta penerima yang terdiri dari siswa sekolah dan ibu hamil</w:t>
      </w:r>
      <w:r w:rsidDel="00000000" w:rsidR="00000000" w:rsidRPr="00000000">
        <w:rPr>
          <w:rFonts w:ascii="Google Sans" w:cs="Google Sans" w:eastAsia="Google Sans" w:hAnsi="Google Sans"/>
          <w:color w:val="444746"/>
          <w:sz w:val="24"/>
          <w:szCs w:val="24"/>
          <w:vertAlign w:val="superscript"/>
          <w:rtl w:val="0"/>
        </w:rPr>
        <w:t xml:space="preserve">8</w:t>
      </w:r>
      <w:r w:rsidDel="00000000" w:rsidR="00000000" w:rsidRPr="00000000">
        <w:rPr>
          <w:rFonts w:ascii="Google Sans" w:cs="Google Sans" w:eastAsia="Google Sans" w:hAnsi="Google Sans"/>
          <w:color w:val="1f1f1f"/>
          <w:rtl w:val="0"/>
        </w:rPr>
        <w:t xml:space="preserve">. Beban fiskal program ini, ditambah dengan Bantuan Operasional Sekolah (BOS) dan program ketahanan pangan, menyedot porsi yang luar biasa besar dari APBN 2026.</w:t>
      </w:r>
    </w:p>
    <w:p w:rsidR="00000000" w:rsidDel="00000000" w:rsidP="00000000" w:rsidRDefault="00000000" w:rsidRPr="00000000" w14:paraId="00000069">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Sebagai konsekuensi logis (trade-off) dari ekspansi masif pada belanja bantuan dan operasional ini, proporsi Belanja Modal—yang secara esensial sangat krusial untuk penciptaan aset infrastruktur jangka panjang demi mendorong kapasitas produksi nasional—terus mengalami penyusutan sistematis. Pada periode 2015-2019, belanja modal sempat menyentuh porsi tertinggi di angka 18,41% dari total belanja pusat, mencerminkan ambisi pembangunan jalan tol, bendungan, dan pelabuhan. Namun, porsi ini menyusut drastis menjadi hanya 8,74% hingga 8,67% pada rentang 2025-2026</w:t>
      </w:r>
      <w:r w:rsidDel="00000000" w:rsidR="00000000" w:rsidRPr="00000000">
        <w:rPr>
          <w:rFonts w:ascii="Google Sans" w:cs="Google Sans" w:eastAsia="Google Sans" w:hAnsi="Google Sans"/>
          <w:color w:val="444746"/>
          <w:sz w:val="24"/>
          <w:szCs w:val="24"/>
          <w:vertAlign w:val="superscript"/>
          <w:rtl w:val="0"/>
        </w:rPr>
        <w:t xml:space="preserve">38</w:t>
      </w:r>
      <w:r w:rsidDel="00000000" w:rsidR="00000000" w:rsidRPr="00000000">
        <w:rPr>
          <w:rFonts w:ascii="Google Sans" w:cs="Google Sans" w:eastAsia="Google Sans" w:hAnsi="Google Sans"/>
          <w:color w:val="1f1f1f"/>
          <w:rtl w:val="0"/>
        </w:rPr>
        <w:t xml:space="preserve">. Data empiris ini mengonfirmasi bahwa pasca-2024, fokus haluan negara telah bergeser secara definitif dari pembangunan infrastruktur fisik berskala besar menuju proteksi sosial dan investasi pada sumber daya manusia (SDM). Kendati belanja sosial ini bersifat konsumtif dalam jangka pendek, pemerintah berdalih bahwa pengeluaran ini merupakan investasi fundamental (human capital investment) yang akan menghasilkan efek pengganda (multiplier effect) sistemik bagi ketahanan generasi mendatang</w:t>
      </w:r>
      <w:r w:rsidDel="00000000" w:rsidR="00000000" w:rsidRPr="00000000">
        <w:rPr>
          <w:rFonts w:ascii="Google Sans" w:cs="Google Sans" w:eastAsia="Google Sans" w:hAnsi="Google Sans"/>
          <w:color w:val="444746"/>
          <w:sz w:val="24"/>
          <w:szCs w:val="24"/>
          <w:vertAlign w:val="superscript"/>
          <w:rtl w:val="0"/>
        </w:rPr>
        <w:t xml:space="preserve">48</w:t>
      </w:r>
      <w:r w:rsidDel="00000000" w:rsidR="00000000" w:rsidRPr="00000000">
        <w:rPr>
          <w:rFonts w:ascii="Google Sans" w:cs="Google Sans" w:eastAsia="Google Sans" w:hAnsi="Google Sans"/>
          <w:color w:val="1f1f1f"/>
          <w:rtl w:val="0"/>
        </w:rPr>
        <w:t xml:space="preserve">.</w:t>
      </w:r>
    </w:p>
    <w:p w:rsidR="00000000" w:rsidDel="00000000" w:rsidP="00000000" w:rsidRDefault="00000000" w:rsidRPr="00000000" w14:paraId="0000006A">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Krisis Beban Pembayaran Bunga Utang dan Efek Pendesakan (Crowding-Out Effect)</w:t>
      </w:r>
    </w:p>
    <w:p w:rsidR="00000000" w:rsidDel="00000000" w:rsidP="00000000" w:rsidRDefault="00000000" w:rsidRPr="00000000" w14:paraId="0000006B">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Pos pengeluaran non-K/L yang secara struktural menimbulkan kerentanan terbesar bagi keberlanjutan (sustainability) fiskal Indonesia saat ini adalah Pembayaran Bunga Utang dan Belanja Subsidi. Jika pada era 2006 hingga 2014 beban pembayaran bunga utang masih sangat terkendali sejalan dengan rendahnya rasio utang pemerintah, kondisi tersebut berubah total pasca-relaksasi defisit akibat krisis pandemi COVID-19.</w:t>
      </w:r>
    </w:p>
    <w:p w:rsidR="00000000" w:rsidDel="00000000" w:rsidP="00000000" w:rsidRDefault="00000000" w:rsidRPr="00000000" w14:paraId="0000006C">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Untuk memitigasi kejatuhan ekonomi di tahun 2020-2022, pemerintah mengeksekusi strategi pembiayaan utang berskala masif, termasuk melalui penerbitan Surat Berharga Negara (SBN) khusus yang diserap langsung oleh Bank Indonesia melalui skema pembagian beban (burden sharing)</w:t>
      </w:r>
      <w:r w:rsidDel="00000000" w:rsidR="00000000" w:rsidRPr="00000000">
        <w:rPr>
          <w:rFonts w:ascii="Google Sans" w:cs="Google Sans" w:eastAsia="Google Sans" w:hAnsi="Google Sans"/>
          <w:color w:val="444746"/>
          <w:sz w:val="24"/>
          <w:szCs w:val="24"/>
          <w:vertAlign w:val="superscript"/>
          <w:rtl w:val="0"/>
        </w:rPr>
        <w:t xml:space="preserve">5</w:t>
      </w:r>
      <w:r w:rsidDel="00000000" w:rsidR="00000000" w:rsidRPr="00000000">
        <w:rPr>
          <w:rFonts w:ascii="Google Sans" w:cs="Google Sans" w:eastAsia="Google Sans" w:hAnsi="Google Sans"/>
          <w:color w:val="1f1f1f"/>
          <w:rtl w:val="0"/>
        </w:rPr>
        <w:t xml:space="preserve">. Memasuki periode 2025-2026, surat-surat utang bertenor menengah ini mulai memasuki masa jatuh tempo (maturity wall). Pada saat yang bersamaan, pemerintah harus menanggung pembayaran kupon (bunga) yang terlampau tinggi akibat kebijakan pengetatan moneter global (higher for longer) yang diadopsi oleh bank-bank sentral utama dunia demi menekan inflasi</w:t>
      </w:r>
      <w:r w:rsidDel="00000000" w:rsidR="00000000" w:rsidRPr="00000000">
        <w:rPr>
          <w:rFonts w:ascii="Google Sans" w:cs="Google Sans" w:eastAsia="Google Sans" w:hAnsi="Google Sans"/>
          <w:color w:val="444746"/>
          <w:sz w:val="24"/>
          <w:szCs w:val="24"/>
          <w:vertAlign w:val="superscript"/>
          <w:rtl w:val="0"/>
        </w:rPr>
        <w:t xml:space="preserve">5</w:t>
      </w:r>
      <w:r w:rsidDel="00000000" w:rsidR="00000000" w:rsidRPr="00000000">
        <w:rPr>
          <w:rFonts w:ascii="Google Sans" w:cs="Google Sans" w:eastAsia="Google Sans" w:hAnsi="Google Sans"/>
          <w:color w:val="1f1f1f"/>
          <w:rtl w:val="0"/>
        </w:rPr>
        <w:t xml:space="preserve">. Pada tahun 2026, alokasi pembayaran bunga utang pemerintah diproyeksikan menembus angka historis sebesar Rp599,44 triliun</w:t>
      </w:r>
      <w:r w:rsidDel="00000000" w:rsidR="00000000" w:rsidRPr="00000000">
        <w:rPr>
          <w:rFonts w:ascii="Google Sans" w:cs="Google Sans" w:eastAsia="Google Sans" w:hAnsi="Google Sans"/>
          <w:color w:val="444746"/>
          <w:sz w:val="24"/>
          <w:szCs w:val="24"/>
          <w:vertAlign w:val="superscript"/>
          <w:rtl w:val="0"/>
        </w:rPr>
        <w:t xml:space="preserve">5</w:t>
      </w:r>
      <w:r w:rsidDel="00000000" w:rsidR="00000000" w:rsidRPr="00000000">
        <w:rPr>
          <w:rFonts w:ascii="Google Sans" w:cs="Google Sans" w:eastAsia="Google Sans" w:hAnsi="Google Sans"/>
          <w:color w:val="1f1f1f"/>
          <w:rtl w:val="0"/>
        </w:rPr>
        <w:t xml:space="preserve">. Angka ini sangat mencengangkan dan membunyikan alarm bahaya, karena secara nominal menyita sekitar 19,11% hingga 20,47% dari total belanja pemerintah pusat</w:t>
      </w:r>
      <w:r w:rsidDel="00000000" w:rsidR="00000000" w:rsidRPr="00000000">
        <w:rPr>
          <w:rFonts w:ascii="Google Sans" w:cs="Google Sans" w:eastAsia="Google Sans" w:hAnsi="Google Sans"/>
          <w:color w:val="444746"/>
          <w:sz w:val="24"/>
          <w:szCs w:val="24"/>
          <w:vertAlign w:val="superscript"/>
          <w:rtl w:val="0"/>
        </w:rPr>
        <w:t xml:space="preserve">38</w:t>
      </w:r>
      <w:r w:rsidDel="00000000" w:rsidR="00000000" w:rsidRPr="00000000">
        <w:rPr>
          <w:rFonts w:ascii="Google Sans" w:cs="Google Sans" w:eastAsia="Google Sans" w:hAnsi="Google Sans"/>
          <w:color w:val="1f1f1f"/>
          <w:rtl w:val="0"/>
        </w:rPr>
        <w:t xml:space="preserve">, dan ekuivalen dengan sekitar 22,27% hingga 25,42% dari total target penerimaan pajak nasional pada tahun tersebut</w:t>
      </w:r>
      <w:r w:rsidDel="00000000" w:rsidR="00000000" w:rsidRPr="00000000">
        <w:rPr>
          <w:rFonts w:ascii="Google Sans" w:cs="Google Sans" w:eastAsia="Google Sans" w:hAnsi="Google Sans"/>
          <w:color w:val="444746"/>
          <w:sz w:val="24"/>
          <w:szCs w:val="24"/>
          <w:vertAlign w:val="superscript"/>
          <w:rtl w:val="0"/>
        </w:rPr>
        <w:t xml:space="preserve">5</w:t>
      </w:r>
      <w:r w:rsidDel="00000000" w:rsidR="00000000" w:rsidRPr="00000000">
        <w:rPr>
          <w:rFonts w:ascii="Google Sans" w:cs="Google Sans" w:eastAsia="Google Sans" w:hAnsi="Google Sans"/>
          <w:color w:val="1f1f1f"/>
          <w:rtl w:val="0"/>
        </w:rPr>
        <w:t xml:space="preserve">. Kondisi ini jauh melampaui ambang batas keamanan (safety threshold) 10% yang direkomendasikan oleh Dana Moneter Internasional (IMF) untuk rasio beban bunga terhadap penerimaan pajak</w:t>
      </w:r>
      <w:r w:rsidDel="00000000" w:rsidR="00000000" w:rsidRPr="00000000">
        <w:rPr>
          <w:rFonts w:ascii="Google Sans" w:cs="Google Sans" w:eastAsia="Google Sans" w:hAnsi="Google Sans"/>
          <w:color w:val="444746"/>
          <w:sz w:val="24"/>
          <w:szCs w:val="24"/>
          <w:vertAlign w:val="superscript"/>
          <w:rtl w:val="0"/>
        </w:rPr>
        <w:t xml:space="preserve">5</w:t>
      </w:r>
      <w:r w:rsidDel="00000000" w:rsidR="00000000" w:rsidRPr="00000000">
        <w:rPr>
          <w:rFonts w:ascii="Google Sans" w:cs="Google Sans" w:eastAsia="Google Sans" w:hAnsi="Google Sans"/>
          <w:color w:val="1f1f1f"/>
          <w:rtl w:val="0"/>
        </w:rPr>
        <w:t xml:space="preserve">.</w:t>
      </w:r>
    </w:p>
    <w:p w:rsidR="00000000" w:rsidDel="00000000" w:rsidP="00000000" w:rsidRDefault="00000000" w:rsidRPr="00000000" w14:paraId="0000006D">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Konsekuensi ekonomi makro dari beban utang ini adalah terciptanya </w:t>
      </w:r>
      <w:r w:rsidDel="00000000" w:rsidR="00000000" w:rsidRPr="00000000">
        <w:rPr>
          <w:rFonts w:ascii="Google Sans" w:cs="Google Sans" w:eastAsia="Google Sans" w:hAnsi="Google Sans"/>
          <w:b w:val="1"/>
          <w:bCs w:val="1"/>
          <w:color w:val="1f1f1f"/>
          <w:rtl w:val="0"/>
        </w:rPr>
        <w:t xml:space="preserve">crowding-out effect</w:t>
      </w:r>
      <w:r w:rsidDel="00000000" w:rsidR="00000000" w:rsidRPr="00000000">
        <w:rPr>
          <w:rFonts w:ascii="Google Sans" w:cs="Google Sans" w:eastAsia="Google Sans" w:hAnsi="Google Sans"/>
          <w:color w:val="1f1f1f"/>
          <w:rtl w:val="0"/>
        </w:rPr>
        <w:t xml:space="preserve"> yang parah. Ketika pemerintah secara terus-menerus harus menerbitkan obligasi domestik dalam volume masif untuk menutup defisit dan membiayai </w:t>
      </w:r>
      <w:r w:rsidDel="00000000" w:rsidR="00000000" w:rsidRPr="00000000">
        <w:rPr>
          <w:rFonts w:ascii="Google Sans" w:cs="Google Sans" w:eastAsia="Google Sans" w:hAnsi="Google Sans"/>
          <w:i w:val="1"/>
          <w:iCs w:val="1"/>
          <w:color w:val="1f1f1f"/>
          <w:rtl w:val="0"/>
        </w:rPr>
        <w:t xml:space="preserve">refinancing</w:t>
      </w:r>
      <w:r w:rsidDel="00000000" w:rsidR="00000000" w:rsidRPr="00000000">
        <w:rPr>
          <w:rFonts w:ascii="Google Sans" w:cs="Google Sans" w:eastAsia="Google Sans" w:hAnsi="Google Sans"/>
          <w:color w:val="1f1f1f"/>
          <w:rtl w:val="0"/>
        </w:rPr>
        <w:t xml:space="preserve"> (di mana imbal hasil/yield SBN terpaksa dipertahankan tinggi di kisaran 6,6%–6,9% untuk tenor 10 tahun agar tetap menarik bagi investor), likuiditas dari sistem perbankan domestik tersedot kuat oleh negara</w:t>
      </w:r>
      <w:r w:rsidDel="00000000" w:rsidR="00000000" w:rsidRPr="00000000">
        <w:rPr>
          <w:rFonts w:ascii="Google Sans" w:cs="Google Sans" w:eastAsia="Google Sans" w:hAnsi="Google Sans"/>
          <w:color w:val="444746"/>
          <w:sz w:val="24"/>
          <w:szCs w:val="24"/>
          <w:vertAlign w:val="superscript"/>
          <w:rtl w:val="0"/>
        </w:rPr>
        <w:t xml:space="preserve">5</w:t>
      </w:r>
      <w:r w:rsidDel="00000000" w:rsidR="00000000" w:rsidRPr="00000000">
        <w:rPr>
          <w:rFonts w:ascii="Google Sans" w:cs="Google Sans" w:eastAsia="Google Sans" w:hAnsi="Google Sans"/>
          <w:color w:val="1f1f1f"/>
          <w:rtl w:val="0"/>
        </w:rPr>
        <w:t xml:space="preserve">. Fenomena pendesakan ini membatasi akses sektor swasta terhadap modal kredit yang terjangkau, sehingga rencana ekspansi bisnis dan investasi riil korporasi menjadi tertahan</w:t>
      </w:r>
      <w:r w:rsidDel="00000000" w:rsidR="00000000" w:rsidRPr="00000000">
        <w:rPr>
          <w:rFonts w:ascii="Google Sans" w:cs="Google Sans" w:eastAsia="Google Sans" w:hAnsi="Google Sans"/>
          <w:color w:val="444746"/>
          <w:sz w:val="24"/>
          <w:szCs w:val="24"/>
          <w:vertAlign w:val="superscript"/>
          <w:rtl w:val="0"/>
        </w:rPr>
        <w:t xml:space="preserve">5</w:t>
      </w:r>
      <w:r w:rsidDel="00000000" w:rsidR="00000000" w:rsidRPr="00000000">
        <w:rPr>
          <w:rFonts w:ascii="Google Sans" w:cs="Google Sans" w:eastAsia="Google Sans" w:hAnsi="Google Sans"/>
          <w:color w:val="1f1f1f"/>
          <w:rtl w:val="0"/>
        </w:rPr>
        <w:t xml:space="preserve">. Alhasil, mesin pertumbuhan ekonomi nasional bergeser menjadi pertumbuhan yang didorong oleh utang pemerintah (debt-driven economic growth) alih-alih peningkatan produktivitas organik dari sektor swasta</w:t>
      </w:r>
      <w:r w:rsidDel="00000000" w:rsidR="00000000" w:rsidRPr="00000000">
        <w:rPr>
          <w:rFonts w:ascii="Google Sans" w:cs="Google Sans" w:eastAsia="Google Sans" w:hAnsi="Google Sans"/>
          <w:color w:val="444746"/>
          <w:sz w:val="24"/>
          <w:szCs w:val="24"/>
          <w:vertAlign w:val="superscript"/>
          <w:rtl w:val="0"/>
        </w:rPr>
        <w:t xml:space="preserve">5</w:t>
      </w:r>
      <w:r w:rsidDel="00000000" w:rsidR="00000000" w:rsidRPr="00000000">
        <w:rPr>
          <w:rFonts w:ascii="Google Sans" w:cs="Google Sans" w:eastAsia="Google Sans" w:hAnsi="Google Sans"/>
          <w:color w:val="1f1f1f"/>
          <w:rtl w:val="0"/>
        </w:rPr>
        <w:t xml:space="preserve">. Secara teknis matematis, ketika biaya pinjaman nominal (di atas 6,6%) lebih tinggi dibandingkan tingkat pertumbuhan ekonomi riil yang hanya berada di kisaran 5,4%, Indonesia terperangkap dalam jebakan </w:t>
      </w:r>
      <w:r w:rsidDel="00000000" w:rsidR="00000000" w:rsidRPr="00000000">
        <w:rPr>
          <w:rFonts w:ascii="Google Sans" w:cs="Google Sans" w:eastAsia="Google Sans" w:hAnsi="Google Sans"/>
          <w:color w:val="1f1f1f"/>
        </w:rPr>
        <w:drawing>
          <wp:inline distB="19050" distT="19050" distL="19050" distR="19050">
            <wp:extent cx="455414" cy="246683"/>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455414" cy="246683"/>
                    </a:xfrm>
                    <a:prstGeom prst="rect"/>
                    <a:ln/>
                  </pic:spPr>
                </pic:pic>
              </a:graphicData>
            </a:graphic>
          </wp:inline>
        </w:drawing>
      </w:r>
      <w:r w:rsidDel="00000000" w:rsidR="00000000" w:rsidRPr="00000000">
        <w:rPr>
          <w:rFonts w:ascii="Google Sans" w:cs="Google Sans" w:eastAsia="Google Sans" w:hAnsi="Google Sans"/>
          <w:color w:val="444746"/>
          <w:sz w:val="24"/>
          <w:szCs w:val="24"/>
          <w:vertAlign w:val="superscript"/>
          <w:rtl w:val="0"/>
        </w:rPr>
        <w:t xml:space="preserve">5</w:t>
      </w:r>
      <w:r w:rsidDel="00000000" w:rsidR="00000000" w:rsidRPr="00000000">
        <w:rPr>
          <w:rFonts w:ascii="Google Sans" w:cs="Google Sans" w:eastAsia="Google Sans" w:hAnsi="Google Sans"/>
          <w:color w:val="1f1f1f"/>
          <w:rtl w:val="0"/>
        </w:rPr>
        <w:t xml:space="preserve">. Kondisi ini berarti rasio utang akan terus tereskalasi secara otomatis kecuali pemerintah mampu mencetak surplus primer yang substansial, sesuatu yang sulit diwujudkan mengingat keseimbangan primer diproyeksikan masih berada di area defisit</w:t>
      </w:r>
      <w:r w:rsidDel="00000000" w:rsidR="00000000" w:rsidRPr="00000000">
        <w:rPr>
          <w:rFonts w:ascii="Google Sans" w:cs="Google Sans" w:eastAsia="Google Sans" w:hAnsi="Google Sans"/>
          <w:color w:val="444746"/>
          <w:sz w:val="24"/>
          <w:szCs w:val="24"/>
          <w:vertAlign w:val="superscript"/>
          <w:rtl w:val="0"/>
        </w:rPr>
        <w:t xml:space="preserve">5</w:t>
      </w:r>
      <w:r w:rsidDel="00000000" w:rsidR="00000000" w:rsidRPr="00000000">
        <w:rPr>
          <w:rFonts w:ascii="Google Sans" w:cs="Google Sans" w:eastAsia="Google Sans" w:hAnsi="Google Sans"/>
          <w:color w:val="1f1f1f"/>
          <w:rtl w:val="0"/>
        </w:rPr>
        <w:t xml:space="preserve">. Beban yang masif ini pada akhirnya memicu fenomena "belanja paksa", di mana anggaran negara menjadi sangat kaku (rigid) karena penerimaan pajak yang dipungut dari rakyat tidak lagi kembali dalam wujud layanan publik berkualitas, melainkan mengalir keluar untuk membayar kompensasi kepada kreditor</w:t>
      </w:r>
      <w:r w:rsidDel="00000000" w:rsidR="00000000" w:rsidRPr="00000000">
        <w:rPr>
          <w:rFonts w:ascii="Google Sans" w:cs="Google Sans" w:eastAsia="Google Sans" w:hAnsi="Google Sans"/>
          <w:color w:val="444746"/>
          <w:sz w:val="24"/>
          <w:szCs w:val="24"/>
          <w:vertAlign w:val="superscript"/>
          <w:rtl w:val="0"/>
        </w:rPr>
        <w:t xml:space="preserve">5</w:t>
      </w:r>
      <w:r w:rsidDel="00000000" w:rsidR="00000000" w:rsidRPr="00000000">
        <w:rPr>
          <w:rFonts w:ascii="Google Sans" w:cs="Google Sans" w:eastAsia="Google Sans" w:hAnsi="Google Sans"/>
          <w:color w:val="1f1f1f"/>
          <w:rtl w:val="0"/>
        </w:rPr>
        <w:t xml:space="preserve">.</w:t>
      </w:r>
    </w:p>
    <w:p w:rsidR="00000000" w:rsidDel="00000000" w:rsidP="00000000" w:rsidRDefault="00000000" w:rsidRPr="00000000" w14:paraId="0000006E">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Memperparah tekanan fiskal ini adalah sifat Belanja Subsidi, khususnya subsidi energi yang sangat reaktif terhadap nilai tukar dan pergerakan ICP. Berdasarkan kerangka sensitivitas asumsi makroekonomi APBN, setiap deviasi kenaikan ICP sebesar US$ 1 per barel dari asumsi awal akan menguras tambahan belanja subsidi dan kompensasi energi (untuk BBM dan listrik) sebesar kurang lebih Rp10,3 triliun. Meskipun di sisi lain PNBP SDA Migas juga akan menerima tambahan sekitar Rp3,6 triliun, selisih beban bersihnya mengimplikasikan pelebaran defisit sebesar Rp6,7 triliun untuk setiap pergerakan satu dolar kenaikan minyak</w:t>
      </w:r>
      <w:r w:rsidDel="00000000" w:rsidR="00000000" w:rsidRPr="00000000">
        <w:rPr>
          <w:rFonts w:ascii="Google Sans" w:cs="Google Sans" w:eastAsia="Google Sans" w:hAnsi="Google Sans"/>
          <w:color w:val="444746"/>
          <w:sz w:val="24"/>
          <w:szCs w:val="24"/>
          <w:vertAlign w:val="superscript"/>
          <w:rtl w:val="0"/>
        </w:rPr>
        <w:t xml:space="preserve">35</w:t>
      </w:r>
      <w:r w:rsidDel="00000000" w:rsidR="00000000" w:rsidRPr="00000000">
        <w:rPr>
          <w:rFonts w:ascii="Google Sans" w:cs="Google Sans" w:eastAsia="Google Sans" w:hAnsi="Google Sans"/>
          <w:color w:val="1f1f1f"/>
          <w:rtl w:val="0"/>
        </w:rPr>
        <w:t xml:space="preserve">. Mengingat lonjakan ICP pada tahun 2026 menembus US$ 117 per barel (berdeviasi sangat jauh dari asumsi US$ 70 per barel), tekanan mendadak terhadap kas negara berpotensi menimbulkan beban subsidi ekstra hingga ratusan triliun rupiah</w:t>
      </w:r>
      <w:r w:rsidDel="00000000" w:rsidR="00000000" w:rsidRPr="00000000">
        <w:rPr>
          <w:rFonts w:ascii="Google Sans" w:cs="Google Sans" w:eastAsia="Google Sans" w:hAnsi="Google Sans"/>
          <w:color w:val="444746"/>
          <w:sz w:val="24"/>
          <w:szCs w:val="24"/>
          <w:vertAlign w:val="superscript"/>
          <w:rtl w:val="0"/>
        </w:rPr>
        <w:t xml:space="preserve">35</w:t>
      </w:r>
      <w:r w:rsidDel="00000000" w:rsidR="00000000" w:rsidRPr="00000000">
        <w:rPr>
          <w:rFonts w:ascii="Google Sans" w:cs="Google Sans" w:eastAsia="Google Sans" w:hAnsi="Google Sans"/>
          <w:color w:val="1f1f1f"/>
          <w:rtl w:val="0"/>
        </w:rPr>
        <w:t xml:space="preserve">. Jika pemerintah tidak berani mengambil risiko politik untuk segera melakukan penyesuaian tarif energi (administered prices) di tingkat konsumen, kerugian ini akan beralih menjadi utang kompensasi kepada BUMN energi yang pada gilirannya akan semakin memperdalam defisit APBN di masa mendatang.</w:t>
      </w:r>
    </w:p>
    <w:p w:rsidR="00000000" w:rsidDel="00000000" w:rsidP="00000000" w:rsidRDefault="00000000" w:rsidRPr="00000000" w14:paraId="0000006F">
      <w:pPr>
        <w:pStyle w:val="Heading2"/>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Jebakan Kekakuan Fiskal dan Reformasi Mandatory Spending</w:t>
      </w:r>
    </w:p>
    <w:p w:rsidR="00000000" w:rsidDel="00000000" w:rsidP="00000000" w:rsidRDefault="00000000" w:rsidRPr="00000000" w14:paraId="00000070">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Kombinasi destruktif antara ledakan kewajiban pembiayaan bunga utang, kerentanan beban subsidi, serta pos-pos belanja wajib yang diamanatkan oleh konstitusi (mandatory spending) telah mematikan sebagian besar ruang gerak fiskal (fiscal space) pemerintah. Kekakuan fiskal (fiscal rigidity) ini menjadi ancaman krusial apabila terjadi guncangan krisis ekonomi global yang tak terduga di masa depan, karena pemerintah kehilangan amunisi untuk melakukan stimulus instan</w:t>
      </w:r>
      <w:r w:rsidDel="00000000" w:rsidR="00000000" w:rsidRPr="00000000">
        <w:rPr>
          <w:rFonts w:ascii="Google Sans" w:cs="Google Sans" w:eastAsia="Google Sans" w:hAnsi="Google Sans"/>
          <w:color w:val="444746"/>
          <w:sz w:val="24"/>
          <w:szCs w:val="24"/>
          <w:vertAlign w:val="superscript"/>
          <w:rtl w:val="0"/>
        </w:rPr>
        <w:t xml:space="preserve">5</w:t>
      </w:r>
      <w:r w:rsidDel="00000000" w:rsidR="00000000" w:rsidRPr="00000000">
        <w:rPr>
          <w:rFonts w:ascii="Google Sans" w:cs="Google Sans" w:eastAsia="Google Sans" w:hAnsi="Google Sans"/>
          <w:color w:val="1f1f1f"/>
          <w:rtl w:val="0"/>
        </w:rPr>
        <w:t xml:space="preserve">.</w:t>
      </w:r>
    </w:p>
    <w:p w:rsidR="00000000" w:rsidDel="00000000" w:rsidP="00000000" w:rsidRDefault="00000000" w:rsidRPr="00000000" w14:paraId="00000071">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Berdasarkan amanat Undang-Undang Dasar 1945 Pasal 31 Ayat (4) dan Undang-Undang Sistem Pendidikan Nasional, negara diwajibkan untuk memprioritaskan alokasi anggaran pendidikan sekurang-kurangnya 20% dari APBN</w:t>
      </w:r>
      <w:r w:rsidDel="00000000" w:rsidR="00000000" w:rsidRPr="00000000">
        <w:rPr>
          <w:rFonts w:ascii="Google Sans" w:cs="Google Sans" w:eastAsia="Google Sans" w:hAnsi="Google Sans"/>
          <w:color w:val="444746"/>
          <w:sz w:val="24"/>
          <w:szCs w:val="24"/>
          <w:vertAlign w:val="superscript"/>
          <w:rtl w:val="0"/>
        </w:rPr>
        <w:t xml:space="preserve">53</w:t>
      </w:r>
      <w:r w:rsidDel="00000000" w:rsidR="00000000" w:rsidRPr="00000000">
        <w:rPr>
          <w:rFonts w:ascii="Google Sans" w:cs="Google Sans" w:eastAsia="Google Sans" w:hAnsi="Google Sans"/>
          <w:color w:val="1f1f1f"/>
          <w:rtl w:val="0"/>
        </w:rPr>
        <w:t xml:space="preserve">. Selama bertahun-tahun, besaran mandat ini diinterpretasikan dan dikalkulasikan sebagai 20% dari total </w:t>
      </w:r>
      <w:r w:rsidDel="00000000" w:rsidR="00000000" w:rsidRPr="00000000">
        <w:rPr>
          <w:rFonts w:ascii="Google Sans" w:cs="Google Sans" w:eastAsia="Google Sans" w:hAnsi="Google Sans"/>
          <w:b w:val="1"/>
          <w:bCs w:val="1"/>
          <w:color w:val="1f1f1f"/>
          <w:rtl w:val="0"/>
        </w:rPr>
        <w:t xml:space="preserve">Belanja Negara</w:t>
      </w:r>
      <w:r w:rsidDel="00000000" w:rsidR="00000000" w:rsidRPr="00000000">
        <w:rPr>
          <w:rFonts w:ascii="Google Sans" w:cs="Google Sans" w:eastAsia="Google Sans" w:hAnsi="Google Sans"/>
          <w:color w:val="444746"/>
          <w:sz w:val="24"/>
          <w:szCs w:val="24"/>
          <w:vertAlign w:val="superscript"/>
          <w:rtl w:val="0"/>
        </w:rPr>
        <w:t xml:space="preserve">20</w:t>
      </w:r>
      <w:r w:rsidDel="00000000" w:rsidR="00000000" w:rsidRPr="00000000">
        <w:rPr>
          <w:rFonts w:ascii="Google Sans" w:cs="Google Sans" w:eastAsia="Google Sans" w:hAnsi="Google Sans"/>
          <w:color w:val="1f1f1f"/>
          <w:rtl w:val="0"/>
        </w:rPr>
        <w:t xml:space="preserve">. Dalam kerangka APBN 2026, dengan proyeksi total belanja yang menembus Rp3.786,5 triliun, mandatory spending untuk sektor pendidikan secara matematis menelan alokasi raksasa lebih dari Rp750 triliun (atau diestimasikan sekitar Rp722,6 triliun dalam formulasi awal)</w:t>
      </w:r>
      <w:r w:rsidDel="00000000" w:rsidR="00000000" w:rsidRPr="00000000">
        <w:rPr>
          <w:rFonts w:ascii="Google Sans" w:cs="Google Sans" w:eastAsia="Google Sans" w:hAnsi="Google Sans"/>
          <w:color w:val="444746"/>
          <w:sz w:val="24"/>
          <w:szCs w:val="24"/>
          <w:vertAlign w:val="superscript"/>
          <w:rtl w:val="0"/>
        </w:rPr>
        <w:t xml:space="preserve">7</w:t>
      </w:r>
      <w:r w:rsidDel="00000000" w:rsidR="00000000" w:rsidRPr="00000000">
        <w:rPr>
          <w:rFonts w:ascii="Google Sans" w:cs="Google Sans" w:eastAsia="Google Sans" w:hAnsi="Google Sans"/>
          <w:color w:val="1f1f1f"/>
          <w:rtl w:val="0"/>
        </w:rPr>
        <w:t xml:space="preserve">.</w:t>
      </w:r>
    </w:p>
    <w:p w:rsidR="00000000" w:rsidDel="00000000" w:rsidP="00000000" w:rsidRDefault="00000000" w:rsidRPr="00000000" w14:paraId="00000072">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Tingginya kewajiban konstitusional ini sering kali memicu inefisiensi alokasi. Berdasarkan analisis evaluasi anggaran, pemerintah pusat berulang kali dihadapkan pada kesulitan untuk menyerap dana sebesar itu secara produktif, sehingga terpaksa melakukan "rekayasa" klasifikasi (tagging) dengan memasukkan berbagai pos pembiayaan, gaji pegawai pendidik, hingga transfer daerah ke dalam kotak anggaran pendidikan agar batas 20% tersebut terpenuhi secara administratif</w:t>
      </w:r>
      <w:r w:rsidDel="00000000" w:rsidR="00000000" w:rsidRPr="00000000">
        <w:rPr>
          <w:rFonts w:ascii="Google Sans" w:cs="Google Sans" w:eastAsia="Google Sans" w:hAnsi="Google Sans"/>
          <w:color w:val="444746"/>
          <w:sz w:val="24"/>
          <w:szCs w:val="24"/>
          <w:vertAlign w:val="superscript"/>
          <w:rtl w:val="0"/>
        </w:rPr>
        <w:t xml:space="preserve">53</w:t>
      </w:r>
      <w:r w:rsidDel="00000000" w:rsidR="00000000" w:rsidRPr="00000000">
        <w:rPr>
          <w:rFonts w:ascii="Google Sans" w:cs="Google Sans" w:eastAsia="Google Sans" w:hAnsi="Google Sans"/>
          <w:color w:val="1f1f1f"/>
          <w:rtl w:val="0"/>
        </w:rPr>
        <w:t xml:space="preserve">. Ironisnya, realisasi dari anggaran yang dipaksakan ini sering kali tidak mencapai 100%, sehingga sisa dananya harus dipindahkan ke dalam instrumen Dana Abadi Pendidikan (LPDP) atau berujung menjadi SiLPA yang menganggur di kas daerah, padahal dana tersebut didapatkan pemerintah dari hasil menarik utang dengan bunga tinggi</w:t>
      </w:r>
      <w:r w:rsidDel="00000000" w:rsidR="00000000" w:rsidRPr="00000000">
        <w:rPr>
          <w:rFonts w:ascii="Google Sans" w:cs="Google Sans" w:eastAsia="Google Sans" w:hAnsi="Google Sans"/>
          <w:color w:val="444746"/>
          <w:sz w:val="24"/>
          <w:szCs w:val="24"/>
          <w:vertAlign w:val="superscript"/>
          <w:rtl w:val="0"/>
        </w:rPr>
        <w:t xml:space="preserve">20</w:t>
      </w:r>
      <w:r w:rsidDel="00000000" w:rsidR="00000000" w:rsidRPr="00000000">
        <w:rPr>
          <w:rFonts w:ascii="Google Sans" w:cs="Google Sans" w:eastAsia="Google Sans" w:hAnsi="Google Sans"/>
          <w:color w:val="1f1f1f"/>
          <w:rtl w:val="0"/>
        </w:rPr>
        <w:t xml:space="preserve">.</w:t>
      </w:r>
    </w:p>
    <w:p w:rsidR="00000000" w:rsidDel="00000000" w:rsidP="00000000" w:rsidRDefault="00000000" w:rsidRPr="00000000" w14:paraId="00000073">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Untuk mengurai benang kusut kekakuan fiskal ini, pada transisi perancangan APBN 2025 dan 2026, Kementerian Keuangan menggulirkan wacana dan revisi strategis yang sangat fundamental terkait metodologi penetapan alokasi anggaran wajib pendidikan. Otoritas fiskal mengusulkan perubahan tafsir rumusan dari yang semula 20% terhadap total Belanja Negara, menjadi 20% dari total </w:t>
      </w:r>
      <w:r w:rsidDel="00000000" w:rsidR="00000000" w:rsidRPr="00000000">
        <w:rPr>
          <w:rFonts w:ascii="Google Sans" w:cs="Google Sans" w:eastAsia="Google Sans" w:hAnsi="Google Sans"/>
          <w:b w:val="1"/>
          <w:bCs w:val="1"/>
          <w:color w:val="1f1f1f"/>
          <w:rtl w:val="0"/>
        </w:rPr>
        <w:t xml:space="preserve">Pendapatan Negara</w:t>
      </w:r>
      <w:r w:rsidDel="00000000" w:rsidR="00000000" w:rsidRPr="00000000">
        <w:rPr>
          <w:rFonts w:ascii="Google Sans" w:cs="Google Sans" w:eastAsia="Google Sans" w:hAnsi="Google Sans"/>
          <w:color w:val="444746"/>
          <w:sz w:val="24"/>
          <w:szCs w:val="24"/>
          <w:vertAlign w:val="superscript"/>
          <w:rtl w:val="0"/>
        </w:rPr>
        <w:t xml:space="preserve">54</w:t>
      </w:r>
      <w:r w:rsidDel="00000000" w:rsidR="00000000" w:rsidRPr="00000000">
        <w:rPr>
          <w:rFonts w:ascii="Google Sans" w:cs="Google Sans" w:eastAsia="Google Sans" w:hAnsi="Google Sans"/>
          <w:color w:val="1f1f1f"/>
          <w:rtl w:val="0"/>
        </w:rPr>
        <w:t xml:space="preserve">. Jika metodologi ini diadopsi secara permanen, kewajiban alokasi untuk pendidikan pada APBN 2026 akan terkalibrasi ke tingkat yang jauh lebih rasional, yakni dipangkas dari perkiraan kewajiban Rp722,6 triliun menjadi sekitar Rp599 triliun</w:t>
      </w:r>
      <w:r w:rsidDel="00000000" w:rsidR="00000000" w:rsidRPr="00000000">
        <w:rPr>
          <w:rFonts w:ascii="Google Sans" w:cs="Google Sans" w:eastAsia="Google Sans" w:hAnsi="Google Sans"/>
          <w:color w:val="444746"/>
          <w:sz w:val="24"/>
          <w:szCs w:val="24"/>
          <w:vertAlign w:val="superscript"/>
          <w:rtl w:val="0"/>
        </w:rPr>
        <w:t xml:space="preserve">54</w:t>
      </w:r>
      <w:r w:rsidDel="00000000" w:rsidR="00000000" w:rsidRPr="00000000">
        <w:rPr>
          <w:rFonts w:ascii="Google Sans" w:cs="Google Sans" w:eastAsia="Google Sans" w:hAnsi="Google Sans"/>
          <w:color w:val="1f1f1f"/>
          <w:rtl w:val="0"/>
        </w:rPr>
        <w:t xml:space="preserve">.</w:t>
      </w:r>
    </w:p>
    <w:p w:rsidR="00000000" w:rsidDel="00000000" w:rsidP="00000000" w:rsidRDefault="00000000" w:rsidRPr="00000000" w14:paraId="00000074">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Penurunan basis perhitungan ini dinilai jauh lebih realistis dan sejalan dengan kapasitas kas aktual yang dimiliki negara, tanpa mengharuskan pemerintah untuk menerbitkan utang baru hanya demi mengejar target persentase mandatory yang bersifat artifisial</w:t>
      </w:r>
      <w:r w:rsidDel="00000000" w:rsidR="00000000" w:rsidRPr="00000000">
        <w:rPr>
          <w:rFonts w:ascii="Google Sans" w:cs="Google Sans" w:eastAsia="Google Sans" w:hAnsi="Google Sans"/>
          <w:color w:val="444746"/>
          <w:sz w:val="24"/>
          <w:szCs w:val="24"/>
          <w:vertAlign w:val="superscript"/>
          <w:rtl w:val="0"/>
        </w:rPr>
        <w:t xml:space="preserve">54</w:t>
      </w:r>
      <w:r w:rsidDel="00000000" w:rsidR="00000000" w:rsidRPr="00000000">
        <w:rPr>
          <w:rFonts w:ascii="Google Sans" w:cs="Google Sans" w:eastAsia="Google Sans" w:hAnsi="Google Sans"/>
          <w:color w:val="1f1f1f"/>
          <w:rtl w:val="0"/>
        </w:rPr>
        <w:t xml:space="preserve">. Perubahan paradigma ini, yang sebelumnya juga telah diterapkan melalui penghapusan mandatory spending sektor kesehatan (yang semula diwajibkan minimal 5% dari APBN) melalui pengesahan RUU Kesehatan yang baru—di mana kini anggaran kesehatan didasarkan pada rencana induk kebutuhan riil dan bukan persentase buta—secara sistemik memberikan kembali daya napas dan fleksibilitas bagi Menteri Keuangan</w:t>
      </w:r>
      <w:r w:rsidDel="00000000" w:rsidR="00000000" w:rsidRPr="00000000">
        <w:rPr>
          <w:rFonts w:ascii="Google Sans" w:cs="Google Sans" w:eastAsia="Google Sans" w:hAnsi="Google Sans"/>
          <w:color w:val="444746"/>
          <w:sz w:val="24"/>
          <w:szCs w:val="24"/>
          <w:vertAlign w:val="superscript"/>
          <w:rtl w:val="0"/>
        </w:rPr>
        <w:t xml:space="preserve">52</w:t>
      </w:r>
      <w:r w:rsidDel="00000000" w:rsidR="00000000" w:rsidRPr="00000000">
        <w:rPr>
          <w:rFonts w:ascii="Google Sans" w:cs="Google Sans" w:eastAsia="Google Sans" w:hAnsi="Google Sans"/>
          <w:color w:val="1f1f1f"/>
          <w:rtl w:val="0"/>
        </w:rPr>
        <w:t xml:space="preserve">. Ruang fiskal yang terbebas dari penguncian mandatory ini dapat dialihkan untuk memitigasi lonjakan bunga utang dan meredam guncangan harga energi global, menjaga instrumen APBN agar tetap dapat berfungsi sebagai shock absorber sejati bagi perekonomian nasional</w:t>
      </w:r>
      <w:r w:rsidDel="00000000" w:rsidR="00000000" w:rsidRPr="00000000">
        <w:rPr>
          <w:rFonts w:ascii="Google Sans" w:cs="Google Sans" w:eastAsia="Google Sans" w:hAnsi="Google Sans"/>
          <w:color w:val="444746"/>
          <w:sz w:val="24"/>
          <w:szCs w:val="24"/>
          <w:vertAlign w:val="superscript"/>
          <w:rtl w:val="0"/>
        </w:rPr>
        <w:t xml:space="preserve">25</w:t>
      </w:r>
      <w:r w:rsidDel="00000000" w:rsidR="00000000" w:rsidRPr="00000000">
        <w:rPr>
          <w:rFonts w:ascii="Google Sans" w:cs="Google Sans" w:eastAsia="Google Sans" w:hAnsi="Google Sans"/>
          <w:color w:val="1f1f1f"/>
          <w:rtl w:val="0"/>
        </w:rPr>
        <w:t xml:space="preserve">.</w:t>
      </w:r>
    </w:p>
    <w:p w:rsidR="00000000" w:rsidDel="00000000" w:rsidP="00000000" w:rsidRDefault="00000000" w:rsidRPr="00000000" w14:paraId="00000075">
      <w:pPr>
        <w:pStyle w:val="Heading2"/>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Kesimpulan</w:t>
      </w:r>
    </w:p>
    <w:p w:rsidR="00000000" w:rsidDel="00000000" w:rsidP="00000000" w:rsidRDefault="00000000" w:rsidRPr="00000000" w14:paraId="00000076">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Berdasarkan tinjauan komprehensif atas rekam jejak evolusi APBN Indonesia dari masa konsolidasi tahun 2006 hingga proyeksi transisi tahun 2026, dapat ditarik beberapa sintesis struktural terkait arsitektur dan ketahanan fiskal negara:</w:t>
      </w:r>
    </w:p>
    <w:p w:rsidR="00000000" w:rsidDel="00000000" w:rsidP="00000000" w:rsidRDefault="00000000" w:rsidRPr="00000000" w14:paraId="00000077">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Pola pengumpulan pendapatan negara membuktikan bahwa sekalipun ukuran APBN telah meledak berkali-kali lipat dalam dua dekade terakhir, tulang punggung penerimaan tetap tersandera pada Pajak Penghasilan (PPh), Pajak Pertambahan Nilai (PPN), dan kontribusi komoditas ekstraktif (PNBP Migas dan Minerba). Inovasi regulasi yang sangat krusial, seperti implementasi UU HPP dan modernisasi sistem administrasi melalui Core Tax System, memang berhasil menyelamatkan APBN dari kejatuhan pascapandemi. Namun, stagnasi rasio pajak (tax ratio) yang terpuruk di level 11,8% pada tahun 2024—menjadikannya salah satu yang terburuk di kawasan Asia Pasifik—merupakan refleksi atas kegagalan sistemik dalam memperluas basis pemajakan untuk menembus dominasi sektor informal (shadow economy) serta tingginya toleransi terhadap belanja perpajakan. Tanpa adanya dorongan radikal untuk meningkatkan tax ratio menuju level standar negara berkembang di kisaran 15%, ketergantungan pada pembiayaan utang akan terus menjadi candu bagi fiskal Indonesia.</w:t>
      </w:r>
    </w:p>
    <w:p w:rsidR="00000000" w:rsidDel="00000000" w:rsidP="00000000" w:rsidRDefault="00000000" w:rsidRPr="00000000" w14:paraId="00000078">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Di sisi pengeluaran, pergeseran prioritas politik terlihat jelas dari perubahan struktur belanja. Penurunan tajam alokasi Transfer ke Daerah (TKD) pada postur APBN 2026 (menyusut ekstrem hingga menyentuh porsi 17,1%) merupakan anomali historis yang menandai koreksi atas paradigma desentralisasi fiskal. Pemerintah pusat kini mengadopsi pendekatan kesatuan fiskal dengan menarik kembali kewenangan eksekusi anggaran sosial untuk dikelola secara langsung melalui kementerian. Manuver ini bertujuan untuk menyokong inisiatif strategis populis seperti program Makan Bergizi Gratis (MBG), didorong oleh akumulasi ketidakpuasan empiris atas rendahnya kualitas penyerapan (quality spending) di level pemerintah daerah. Akibatnya, Belanja K/L membengkak secara masif sementara porsi belanja modal untuk infrastruktur jangka panjang justru menyusut drastis.</w:t>
      </w:r>
    </w:p>
    <w:p w:rsidR="00000000" w:rsidDel="00000000" w:rsidP="00000000" w:rsidRDefault="00000000" w:rsidRPr="00000000" w14:paraId="00000079">
      <w:pPr>
        <w:pBdr>
          <w:top w:space="0" w:sz="0" w:val="nil"/>
          <w:left w:space="0" w:sz="0" w:val="nil"/>
          <w:bottom w:space="0" w:sz="0" w:val="nil"/>
          <w:right w:space="0" w:sz="0" w:val="nil"/>
          <w:between w:space="0" w:sz="0" w:val="nil"/>
        </w:pBdr>
        <w:shd w:fill="auto" w:val="clear"/>
        <w:spacing w:after="255"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Pada akhirnya, ancaman eksistensial terbesar bagi APBN Indonesia saat ini bersumber dari kekakuan fiskal akibat ledakan beban bunga utang. Warisan dari upaya penyelamatan ekonomi pada era pandemi COVID-19 adalah gunungan utang jatuh tempo. Di tahun 2026, kewajiban pembayaran bunga utang yang menyentuh angka hampir Rp600 triliun telah menyita porsi yang sangat signifikan dari total penerimaan pajak nasional. Kondisi ini menciptakan efek pendesakan (crowding-out effect) yang nyata, di mana likuiditas domestik tersedot untuk membiayai operasi fiskal negara, menahan laju ekspansi sektor swasta, dan menjebak negara dalam paradigma pertumbuhan yang didorong utang (debt-driven growth). Di tengah ketidakpastian geopolitik yang senantiasa mengancam stabilitas harga minyak dunia (ICP) dan membebani pos subsidi energi, rasionalisasi struktur pengeluaran wajib (seperti redefinisi mandatory spending pendidikan) menjadi satu-satunya jalan keluar untuk mengembalikan fleksibilitas fiskal. Ke depan, kredibilitas dan keberlanjutan APBN Indonesia mutlak bergantung pada kemampuan negara untuk mensinergikan konsolidasi utang dengan ektensifikasi pendapatan domestik secara agresif.</w:t>
      </w:r>
    </w:p>
    <w:p w:rsidR="00000000" w:rsidDel="00000000" w:rsidP="00000000" w:rsidRDefault="00000000" w:rsidRPr="00000000" w14:paraId="0000007A">
      <w:pPr>
        <w:pStyle w:val="Heading4"/>
        <w:pBdr>
          <w:top w:space="0" w:sz="0" w:val="nil"/>
          <w:left w:space="0" w:sz="0" w:val="nil"/>
          <w:bottom w:space="0" w:sz="0" w:val="nil"/>
          <w:right w:space="0" w:sz="0" w:val="nil"/>
          <w:between w:space="0" w:sz="0" w:val="nil"/>
        </w:pBdr>
        <w:shd w:fill="auto" w:val="clear"/>
        <w:spacing w:before="0" w:lineRule="auto"/>
        <w:rPr>
          <w:rFonts w:ascii="Google Sans" w:cs="Google Sans" w:eastAsia="Google Sans" w:hAnsi="Google Sans"/>
        </w:rPr>
      </w:pPr>
      <w:r w:rsidDel="00000000" w:rsidR="00000000" w:rsidRPr="00000000">
        <w:rPr>
          <w:rFonts w:ascii="Google Sans" w:cs="Google Sans" w:eastAsia="Google Sans" w:hAnsi="Google Sans"/>
          <w:rtl w:val="0"/>
        </w:rPr>
        <w:t xml:space="preserve">Karya yang dikutip</w:t>
      </w:r>
    </w:p>
    <w:p w:rsidR="00000000" w:rsidDel="00000000" w:rsidP="00000000" w:rsidRDefault="00000000" w:rsidRPr="00000000" w14:paraId="0000007B">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APBN 2006 - Kementerian Keuangan, </w:t>
      </w:r>
      <w:hyperlink r:id="rId7">
        <w:r w:rsidDel="00000000" w:rsidR="00000000" w:rsidRPr="00000000">
          <w:rPr>
            <w:rFonts w:ascii="Google Sans" w:cs="Google Sans" w:eastAsia="Google Sans" w:hAnsi="Google Sans"/>
            <w:color w:val="0000ee"/>
            <w:sz w:val="24"/>
            <w:szCs w:val="24"/>
            <w:u w:val="single"/>
            <w:rtl w:val="0"/>
          </w:rPr>
          <w:t xml:space="preserve">https://media.kemenkeu.go.id/getmedia/1ec54bcd-c614-4c43-b250-7d4b53976a3a/apbn-2006.pdf</w:t>
        </w:r>
      </w:hyperlink>
      <w:r w:rsidDel="00000000" w:rsidR="00000000" w:rsidRPr="00000000">
        <w:rPr>
          <w:rtl w:val="0"/>
        </w:rPr>
      </w:r>
    </w:p>
    <w:p w:rsidR="00000000" w:rsidDel="00000000" w:rsidP="00000000" w:rsidRDefault="00000000" w:rsidRPr="00000000" w14:paraId="0000007C">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Laporan Keuangan Pemerintah Pusat Tahun 2006 (Audited), </w:t>
      </w:r>
      <w:hyperlink r:id="rId8">
        <w:r w:rsidDel="00000000" w:rsidR="00000000" w:rsidRPr="00000000">
          <w:rPr>
            <w:rFonts w:ascii="Google Sans" w:cs="Google Sans" w:eastAsia="Google Sans" w:hAnsi="Google Sans"/>
            <w:color w:val="0000ee"/>
            <w:sz w:val="24"/>
            <w:szCs w:val="24"/>
            <w:u w:val="single"/>
            <w:rtl w:val="0"/>
          </w:rPr>
          <w:t xml:space="preserve">https://media.kemenkeu.go.id/getmedia/ab659de1-3088-42d9-b853-086fc160c501/lkpp-2006.pdf?ext=.pdf</w:t>
        </w:r>
      </w:hyperlink>
      <w:r w:rsidDel="00000000" w:rsidR="00000000" w:rsidRPr="00000000">
        <w:rPr>
          <w:rtl w:val="0"/>
        </w:rPr>
      </w:r>
    </w:p>
    <w:p w:rsidR="00000000" w:rsidDel="00000000" w:rsidP="00000000" w:rsidRDefault="00000000" w:rsidRPr="00000000" w14:paraId="0000007D">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laporan keuangan pemerintah pusat tahun 2015, </w:t>
      </w:r>
      <w:hyperlink r:id="rId9">
        <w:r w:rsidDel="00000000" w:rsidR="00000000" w:rsidRPr="00000000">
          <w:rPr>
            <w:rFonts w:ascii="Google Sans" w:cs="Google Sans" w:eastAsia="Google Sans" w:hAnsi="Google Sans"/>
            <w:color w:val="0000ee"/>
            <w:sz w:val="24"/>
            <w:szCs w:val="24"/>
            <w:u w:val="single"/>
            <w:rtl w:val="0"/>
          </w:rPr>
          <w:t xml:space="preserve">https://media.kemenkeu.go.id/getmedia/1710f701-487c-4ae5-bcde-d45eb658318a/lkpp-2015.pdf?ext=.pdf</w:t>
        </w:r>
      </w:hyperlink>
      <w:r w:rsidDel="00000000" w:rsidR="00000000" w:rsidRPr="00000000">
        <w:rPr>
          <w:rtl w:val="0"/>
        </w:rPr>
      </w:r>
    </w:p>
    <w:p w:rsidR="00000000" w:rsidDel="00000000" w:rsidP="00000000" w:rsidRDefault="00000000" w:rsidRPr="00000000" w14:paraId="0000007E">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Pemerintah dan Badan Anggaran DPR RI Sepakati Postur Sementara RAPBN 2026, </w:t>
      </w:r>
      <w:hyperlink r:id="rId10">
        <w:r w:rsidDel="00000000" w:rsidR="00000000" w:rsidRPr="00000000">
          <w:rPr>
            <w:rFonts w:ascii="Google Sans" w:cs="Google Sans" w:eastAsia="Google Sans" w:hAnsi="Google Sans"/>
            <w:color w:val="0000ee"/>
            <w:sz w:val="24"/>
            <w:szCs w:val="24"/>
            <w:u w:val="single"/>
            <w:rtl w:val="0"/>
          </w:rPr>
          <w:t xml:space="preserve">https://www.kemenkeu.go.id/informasi-publik/publikasi/berita-utama/Pemerintah-Banggar-Sepakati-Postur-RAPBN-2026</w:t>
        </w:r>
      </w:hyperlink>
      <w:r w:rsidDel="00000000" w:rsidR="00000000" w:rsidRPr="00000000">
        <w:rPr>
          <w:rtl w:val="0"/>
        </w:rPr>
      </w:r>
    </w:p>
    <w:p w:rsidR="00000000" w:rsidDel="00000000" w:rsidP="00000000" w:rsidRDefault="00000000" w:rsidRPr="00000000" w14:paraId="0000007F">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Indonesia's debt wall hits an economy running on borrowed time - Asia Times, </w:t>
      </w:r>
      <w:hyperlink r:id="rId11">
        <w:r w:rsidDel="00000000" w:rsidR="00000000" w:rsidRPr="00000000">
          <w:rPr>
            <w:rFonts w:ascii="Google Sans" w:cs="Google Sans" w:eastAsia="Google Sans" w:hAnsi="Google Sans"/>
            <w:color w:val="0000ee"/>
            <w:sz w:val="24"/>
            <w:szCs w:val="24"/>
            <w:u w:val="single"/>
            <w:rtl w:val="0"/>
          </w:rPr>
          <w:t xml:space="preserve">https://asiatimes.com/2026/05/indonesias-debt-wall-hits-an-economy-running-on-borrowed-time/</w:t>
        </w:r>
      </w:hyperlink>
      <w:r w:rsidDel="00000000" w:rsidR="00000000" w:rsidRPr="00000000">
        <w:rPr>
          <w:rtl w:val="0"/>
        </w:rPr>
      </w:r>
    </w:p>
    <w:p w:rsidR="00000000" w:rsidDel="00000000" w:rsidP="00000000" w:rsidRDefault="00000000" w:rsidRPr="00000000" w14:paraId="00000080">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Rp394,8 Triliun dan Masa Depan Indonesia - Direktorat Jenderal Pajak, </w:t>
      </w:r>
      <w:hyperlink r:id="rId12">
        <w:r w:rsidDel="00000000" w:rsidR="00000000" w:rsidRPr="00000000">
          <w:rPr>
            <w:rFonts w:ascii="Google Sans" w:cs="Google Sans" w:eastAsia="Google Sans" w:hAnsi="Google Sans"/>
            <w:color w:val="0000ee"/>
            <w:sz w:val="24"/>
            <w:szCs w:val="24"/>
            <w:u w:val="single"/>
            <w:rtl w:val="0"/>
          </w:rPr>
          <w:t xml:space="preserve">https://www.pajak.go.id/id/artikel/rp3948-triliun-dan-masa-depan-indonesia</w:t>
        </w:r>
      </w:hyperlink>
      <w:r w:rsidDel="00000000" w:rsidR="00000000" w:rsidRPr="00000000">
        <w:rPr>
          <w:rtl w:val="0"/>
        </w:rPr>
      </w:r>
    </w:p>
    <w:p w:rsidR="00000000" w:rsidDel="00000000" w:rsidP="00000000" w:rsidRDefault="00000000" w:rsidRPr="00000000" w14:paraId="00000081">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Ini Postur RAPBN 2026 - Kementerian Keuangan, </w:t>
      </w:r>
      <w:hyperlink r:id="rId13">
        <w:r w:rsidDel="00000000" w:rsidR="00000000" w:rsidRPr="00000000">
          <w:rPr>
            <w:rFonts w:ascii="Google Sans" w:cs="Google Sans" w:eastAsia="Google Sans" w:hAnsi="Google Sans"/>
            <w:color w:val="0000ee"/>
            <w:sz w:val="24"/>
            <w:szCs w:val="24"/>
            <w:u w:val="single"/>
            <w:rtl w:val="0"/>
          </w:rPr>
          <w:t xml:space="preserve">https://www.kemenkeu.go.id/informasi-publik/publikasi/berita-utama/Ini-Postur-RAPBN-2026</w:t>
        </w:r>
      </w:hyperlink>
      <w:r w:rsidDel="00000000" w:rsidR="00000000" w:rsidRPr="00000000">
        <w:rPr>
          <w:rtl w:val="0"/>
        </w:rPr>
      </w:r>
    </w:p>
    <w:p w:rsidR="00000000" w:rsidDel="00000000" w:rsidP="00000000" w:rsidRDefault="00000000" w:rsidRPr="00000000" w14:paraId="00000082">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Advertorial RAPBN 2026 - Kementerian Keuangan, </w:t>
      </w:r>
      <w:hyperlink r:id="rId14">
        <w:r w:rsidDel="00000000" w:rsidR="00000000" w:rsidRPr="00000000">
          <w:rPr>
            <w:rFonts w:ascii="Google Sans" w:cs="Google Sans" w:eastAsia="Google Sans" w:hAnsi="Google Sans"/>
            <w:color w:val="0000ee"/>
            <w:sz w:val="24"/>
            <w:szCs w:val="24"/>
            <w:u w:val="single"/>
            <w:rtl w:val="0"/>
          </w:rPr>
          <w:t xml:space="preserve">https://media.kemenkeu.go.id/getmedia/744d9a4e-c665-4de8-86e7-e0b40b13938d/Advetorial-RAPBN-2026.pdf</w:t>
        </w:r>
      </w:hyperlink>
      <w:r w:rsidDel="00000000" w:rsidR="00000000" w:rsidRPr="00000000">
        <w:rPr>
          <w:rtl w:val="0"/>
        </w:rPr>
      </w:r>
    </w:p>
    <w:p w:rsidR="00000000" w:rsidDel="00000000" w:rsidP="00000000" w:rsidRDefault="00000000" w:rsidRPr="00000000" w14:paraId="00000083">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Realisasi APBN 2020, Penerimaan Pajak Paling Terpukul - PajakOnline.com, </w:t>
      </w:r>
      <w:hyperlink r:id="rId15">
        <w:r w:rsidDel="00000000" w:rsidR="00000000" w:rsidRPr="00000000">
          <w:rPr>
            <w:rFonts w:ascii="Google Sans" w:cs="Google Sans" w:eastAsia="Google Sans" w:hAnsi="Google Sans"/>
            <w:color w:val="0000ee"/>
            <w:sz w:val="24"/>
            <w:szCs w:val="24"/>
            <w:u w:val="single"/>
            <w:rtl w:val="0"/>
          </w:rPr>
          <w:t xml:space="preserve">https://www.pajakonline.com/realisasi-apbn-2020-penerimaan-pajak-paling-terpukul/</w:t>
        </w:r>
      </w:hyperlink>
      <w:r w:rsidDel="00000000" w:rsidR="00000000" w:rsidRPr="00000000">
        <w:rPr>
          <w:rtl w:val="0"/>
        </w:rPr>
      </w:r>
    </w:p>
    <w:p w:rsidR="00000000" w:rsidDel="00000000" w:rsidP="00000000" w:rsidRDefault="00000000" w:rsidRPr="00000000" w14:paraId="00000084">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Jokowi Targetkan Defisit APBN 2023 Kembali di Bawah 3 Persen - VOA Indonesia, </w:t>
      </w:r>
      <w:hyperlink r:id="rId16">
        <w:r w:rsidDel="00000000" w:rsidR="00000000" w:rsidRPr="00000000">
          <w:rPr>
            <w:rFonts w:ascii="Google Sans" w:cs="Google Sans" w:eastAsia="Google Sans" w:hAnsi="Google Sans"/>
            <w:color w:val="0000ee"/>
            <w:sz w:val="24"/>
            <w:szCs w:val="24"/>
            <w:u w:val="single"/>
            <w:rtl w:val="0"/>
          </w:rPr>
          <w:t xml:space="preserve">https://www.voaindonesia.com/a/jokowi-targetkan-defisit-apbn-2023-kembali-di-bawah-3-persen/6859360.html</w:t>
        </w:r>
      </w:hyperlink>
      <w:r w:rsidDel="00000000" w:rsidR="00000000" w:rsidRPr="00000000">
        <w:rPr>
          <w:rtl w:val="0"/>
        </w:rPr>
      </w:r>
    </w:p>
    <w:p w:rsidR="00000000" w:rsidDel="00000000" w:rsidP="00000000" w:rsidRDefault="00000000" w:rsidRPr="00000000" w14:paraId="00000085">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Memanfaatkan APBN Secara Optimal Dimasa Pandemi - Website DJKN, </w:t>
      </w:r>
      <w:hyperlink r:id="rId17">
        <w:r w:rsidDel="00000000" w:rsidR="00000000" w:rsidRPr="00000000">
          <w:rPr>
            <w:rFonts w:ascii="Google Sans" w:cs="Google Sans" w:eastAsia="Google Sans" w:hAnsi="Google Sans"/>
            <w:color w:val="0000ee"/>
            <w:sz w:val="24"/>
            <w:szCs w:val="24"/>
            <w:u w:val="single"/>
            <w:rtl w:val="0"/>
          </w:rPr>
          <w:t xml:space="preserve">https://www.djkn.kemenkeu.go.id/artikel/baca/14840/Memanfaatkan-APBN-Secara-Optimal-Dimasa-Pandemi.html</w:t>
        </w:r>
      </w:hyperlink>
      <w:r w:rsidDel="00000000" w:rsidR="00000000" w:rsidRPr="00000000">
        <w:rPr>
          <w:rtl w:val="0"/>
        </w:rPr>
      </w:r>
    </w:p>
    <w:p w:rsidR="00000000" w:rsidDel="00000000" w:rsidP="00000000" w:rsidRDefault="00000000" w:rsidRPr="00000000" w14:paraId="00000086">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Pemerintah Tentukan Defisit APBN 2023 di Bawah 3 Persen - Komdigi, </w:t>
      </w:r>
      <w:hyperlink r:id="rId18">
        <w:r w:rsidDel="00000000" w:rsidR="00000000" w:rsidRPr="00000000">
          <w:rPr>
            <w:rFonts w:ascii="Google Sans" w:cs="Google Sans" w:eastAsia="Google Sans" w:hAnsi="Google Sans"/>
            <w:color w:val="0000ee"/>
            <w:sz w:val="24"/>
            <w:szCs w:val="24"/>
            <w:u w:val="single"/>
            <w:rtl w:val="0"/>
          </w:rPr>
          <w:t xml:space="preserve">https://www.komdigi.go.id/berita/berita-pemerintahan/detail/pemerintah-tentukan-defisit-apbn-2023-di-bawah-3-persen</w:t>
        </w:r>
      </w:hyperlink>
      <w:r w:rsidDel="00000000" w:rsidR="00000000" w:rsidRPr="00000000">
        <w:rPr>
          <w:rtl w:val="0"/>
        </w:rPr>
      </w:r>
    </w:p>
    <w:p w:rsidR="00000000" w:rsidDel="00000000" w:rsidP="00000000" w:rsidRDefault="00000000" w:rsidRPr="00000000" w14:paraId="00000087">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Informasi APBN 2023 - Kementerian Keuangan, </w:t>
      </w:r>
      <w:hyperlink r:id="rId19">
        <w:r w:rsidDel="00000000" w:rsidR="00000000" w:rsidRPr="00000000">
          <w:rPr>
            <w:rFonts w:ascii="Google Sans" w:cs="Google Sans" w:eastAsia="Google Sans" w:hAnsi="Google Sans"/>
            <w:color w:val="0000ee"/>
            <w:sz w:val="24"/>
            <w:szCs w:val="24"/>
            <w:u w:val="single"/>
            <w:rtl w:val="0"/>
          </w:rPr>
          <w:t xml:space="preserve">https://media.kemenkeu.go.id/getmedia/6439fa59-B28e-412d-adf5-e02fdd9e7f68/informasi-apbn-ta-2023.pdf</w:t>
        </w:r>
      </w:hyperlink>
      <w:r w:rsidDel="00000000" w:rsidR="00000000" w:rsidRPr="00000000">
        <w:rPr>
          <w:rtl w:val="0"/>
        </w:rPr>
      </w:r>
    </w:p>
    <w:p w:rsidR="00000000" w:rsidDel="00000000" w:rsidP="00000000" w:rsidRDefault="00000000" w:rsidRPr="00000000" w14:paraId="00000088">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Target Defisit APBN 2026 dan Outlook 2025 di Atas Batas Aman Target Kinerja Kemenkeu, </w:t>
      </w:r>
      <w:hyperlink r:id="rId20">
        <w:r w:rsidDel="00000000" w:rsidR="00000000" w:rsidRPr="00000000">
          <w:rPr>
            <w:rFonts w:ascii="Google Sans" w:cs="Google Sans" w:eastAsia="Google Sans" w:hAnsi="Google Sans"/>
            <w:color w:val="0000ee"/>
            <w:sz w:val="24"/>
            <w:szCs w:val="24"/>
            <w:u w:val="single"/>
            <w:rtl w:val="0"/>
          </w:rPr>
          <w:t xml:space="preserve">https://nasional.kontan.co.id/news/target-defisit-apbn-2026-dan-outlook-2025-di-atas-batas-aman-target-kinerja-kemenkeu</w:t>
        </w:r>
      </w:hyperlink>
      <w:r w:rsidDel="00000000" w:rsidR="00000000" w:rsidRPr="00000000">
        <w:rPr>
          <w:rtl w:val="0"/>
        </w:rPr>
      </w:r>
    </w:p>
    <w:p w:rsidR="00000000" w:rsidDel="00000000" w:rsidP="00000000" w:rsidRDefault="00000000" w:rsidRPr="00000000" w14:paraId="00000089">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Nota Keuangan RAPBN TA 2026, </w:t>
      </w:r>
      <w:hyperlink r:id="rId21">
        <w:r w:rsidDel="00000000" w:rsidR="00000000" w:rsidRPr="00000000">
          <w:rPr>
            <w:rFonts w:ascii="Google Sans" w:cs="Google Sans" w:eastAsia="Google Sans" w:hAnsi="Google Sans"/>
            <w:color w:val="0000ee"/>
            <w:sz w:val="24"/>
            <w:szCs w:val="24"/>
            <w:u w:val="single"/>
            <w:rtl w:val="0"/>
          </w:rPr>
          <w:t xml:space="preserve">https://media.kemenkeu.go.id/getmedia/0d55974c-45ad-48f4-8db3-3804b37d195e/Buku-II-Nota-Keuangan-RAPBN-TA-2026.pdf</w:t>
        </w:r>
      </w:hyperlink>
      <w:r w:rsidDel="00000000" w:rsidR="00000000" w:rsidRPr="00000000">
        <w:rPr>
          <w:rtl w:val="0"/>
        </w:rPr>
      </w:r>
    </w:p>
    <w:p w:rsidR="00000000" w:rsidDel="00000000" w:rsidP="00000000" w:rsidRDefault="00000000" w:rsidRPr="00000000" w14:paraId="0000008A">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Faktor-Faktor yang Mempengaruhi Penerimaan Pajak Penghasilan dalam APBN, </w:t>
      </w:r>
      <w:hyperlink r:id="rId22">
        <w:r w:rsidDel="00000000" w:rsidR="00000000" w:rsidRPr="00000000">
          <w:rPr>
            <w:rFonts w:ascii="Google Sans" w:cs="Google Sans" w:eastAsia="Google Sans" w:hAnsi="Google Sans"/>
            <w:color w:val="0000ee"/>
            <w:sz w:val="24"/>
            <w:szCs w:val="24"/>
            <w:u w:val="single"/>
            <w:rtl w:val="0"/>
          </w:rPr>
          <w:t xml:space="preserve">https://www.researchgate.net/publication/353211489_Faktor-Faktor_yang_Mempengaruhi_Penerimaan_Pajak_Penghasilan_dalam_APBN</w:t>
        </w:r>
      </w:hyperlink>
      <w:r w:rsidDel="00000000" w:rsidR="00000000" w:rsidRPr="00000000">
        <w:rPr>
          <w:rtl w:val="0"/>
        </w:rPr>
      </w:r>
    </w:p>
    <w:p w:rsidR="00000000" w:rsidDel="00000000" w:rsidP="00000000" w:rsidRDefault="00000000" w:rsidRPr="00000000" w14:paraId="0000008B">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FINANCIAL AND TAX Vol. 6 No. 1 Edisi Maret 2026 P-ISSN: 2776-3145 E-ISSN - Jurnal STIE JB, </w:t>
      </w:r>
      <w:hyperlink r:id="rId23">
        <w:r w:rsidDel="00000000" w:rsidR="00000000" w:rsidRPr="00000000">
          <w:rPr>
            <w:rFonts w:ascii="Google Sans" w:cs="Google Sans" w:eastAsia="Google Sans" w:hAnsi="Google Sans"/>
            <w:color w:val="0000ee"/>
            <w:sz w:val="24"/>
            <w:szCs w:val="24"/>
            <w:u w:val="single"/>
            <w:rtl w:val="0"/>
          </w:rPr>
          <w:t xml:space="preserve">https://ejournal.stiejb.ac.id/index.php/fintax/article/view/673/364</w:t>
        </w:r>
      </w:hyperlink>
      <w:r w:rsidDel="00000000" w:rsidR="00000000" w:rsidRPr="00000000">
        <w:rPr>
          <w:rtl w:val="0"/>
        </w:rPr>
      </w:r>
    </w:p>
    <w:p w:rsidR="00000000" w:rsidDel="00000000" w:rsidP="00000000" w:rsidRDefault="00000000" w:rsidRPr="00000000" w14:paraId="0000008C">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APBN KITA - Direktorat Jenderal Perimbangan Keuangan, </w:t>
      </w:r>
      <w:hyperlink r:id="rId24">
        <w:r w:rsidDel="00000000" w:rsidR="00000000" w:rsidRPr="00000000">
          <w:rPr>
            <w:rFonts w:ascii="Google Sans" w:cs="Google Sans" w:eastAsia="Google Sans" w:hAnsi="Google Sans"/>
            <w:color w:val="0000ee"/>
            <w:sz w:val="24"/>
            <w:szCs w:val="24"/>
            <w:u w:val="single"/>
            <w:rtl w:val="0"/>
          </w:rPr>
          <w:t xml:space="preserve">https://djpk.kemenkeu.go.id/wp-content/uploads/2020/12/apbn-kita-desember-2020.pdf</w:t>
        </w:r>
      </w:hyperlink>
      <w:r w:rsidDel="00000000" w:rsidR="00000000" w:rsidRPr="00000000">
        <w:rPr>
          <w:rtl w:val="0"/>
        </w:rPr>
      </w:r>
    </w:p>
    <w:p w:rsidR="00000000" w:rsidDel="00000000" w:rsidP="00000000" w:rsidRDefault="00000000" w:rsidRPr="00000000" w14:paraId="0000008D">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kinerja perekonomian dan sinergi kebijakan nasional di periode covid-19, </w:t>
      </w:r>
      <w:hyperlink r:id="rId25">
        <w:r w:rsidDel="00000000" w:rsidR="00000000" w:rsidRPr="00000000">
          <w:rPr>
            <w:rFonts w:ascii="Google Sans" w:cs="Google Sans" w:eastAsia="Google Sans" w:hAnsi="Google Sans"/>
            <w:color w:val="0000ee"/>
            <w:sz w:val="24"/>
            <w:szCs w:val="24"/>
            <w:u w:val="single"/>
            <w:rtl w:val="0"/>
          </w:rPr>
          <w:t xml:space="preserve">https://www.bi.go.id/id/publikasi/laporan/Documents/4_LPI2020_BAB2.pdf</w:t>
        </w:r>
      </w:hyperlink>
      <w:r w:rsidDel="00000000" w:rsidR="00000000" w:rsidRPr="00000000">
        <w:rPr>
          <w:rtl w:val="0"/>
        </w:rPr>
      </w:r>
    </w:p>
    <w:p w:rsidR="00000000" w:rsidDel="00000000" w:rsidP="00000000" w:rsidRDefault="00000000" w:rsidRPr="00000000" w14:paraId="0000008E">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Informasi APBN Tahun Anggaran 2025 - Kementerian Keuangan, </w:t>
      </w:r>
      <w:hyperlink r:id="rId26">
        <w:r w:rsidDel="00000000" w:rsidR="00000000" w:rsidRPr="00000000">
          <w:rPr>
            <w:rFonts w:ascii="Google Sans" w:cs="Google Sans" w:eastAsia="Google Sans" w:hAnsi="Google Sans"/>
            <w:color w:val="0000ee"/>
            <w:sz w:val="24"/>
            <w:szCs w:val="24"/>
            <w:u w:val="single"/>
            <w:rtl w:val="0"/>
          </w:rPr>
          <w:t xml:space="preserve">https://media.kemenkeu.go.id/getmedia/c4cc1854-96f4-42f4-95b8-94cf49a46f10/Informasi-APBN-Tahun-Anggaran-2025.pdf?ext=.pdf</w:t>
        </w:r>
      </w:hyperlink>
      <w:r w:rsidDel="00000000" w:rsidR="00000000" w:rsidRPr="00000000">
        <w:rPr>
          <w:rtl w:val="0"/>
        </w:rPr>
      </w:r>
    </w:p>
    <w:p w:rsidR="00000000" w:rsidDel="00000000" w:rsidP="00000000" w:rsidRDefault="00000000" w:rsidRPr="00000000" w14:paraId="0000008F">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KONFERENSI PERS REALISASI SEMENTARA APBN 2025 - Kementerian Keuangan, </w:t>
      </w:r>
      <w:hyperlink r:id="rId27">
        <w:r w:rsidDel="00000000" w:rsidR="00000000" w:rsidRPr="00000000">
          <w:rPr>
            <w:rFonts w:ascii="Google Sans" w:cs="Google Sans" w:eastAsia="Google Sans" w:hAnsi="Google Sans"/>
            <w:color w:val="0000ee"/>
            <w:sz w:val="24"/>
            <w:szCs w:val="24"/>
            <w:u w:val="single"/>
            <w:rtl w:val="0"/>
          </w:rPr>
          <w:t xml:space="preserve">https://media.kemenkeu.go.id/getmedia/b7f00cc5-15ad-4d8d-9bb5-42e18e8494a8/Publikasi-Web-Konpers-APBN-Kita-(Januari-2026).pdf?ext=.pdf</w:t>
        </w:r>
      </w:hyperlink>
      <w:r w:rsidDel="00000000" w:rsidR="00000000" w:rsidRPr="00000000">
        <w:rPr>
          <w:rtl w:val="0"/>
        </w:rPr>
      </w:r>
    </w:p>
    <w:p w:rsidR="00000000" w:rsidDel="00000000" w:rsidP="00000000" w:rsidRDefault="00000000" w:rsidRPr="00000000" w14:paraId="00000090">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Siaran Pers Menkeu: Penerimaan Perpajakan Terus Tumbuh, Cerminkan Penguatan Aktivitas Ekonomi Nasional - Kementerian Keuangan, </w:t>
      </w:r>
      <w:hyperlink r:id="rId28">
        <w:r w:rsidDel="00000000" w:rsidR="00000000" w:rsidRPr="00000000">
          <w:rPr>
            <w:rFonts w:ascii="Google Sans" w:cs="Google Sans" w:eastAsia="Google Sans" w:hAnsi="Google Sans"/>
            <w:color w:val="0000ee"/>
            <w:sz w:val="24"/>
            <w:szCs w:val="24"/>
            <w:u w:val="single"/>
            <w:rtl w:val="0"/>
          </w:rPr>
          <w:t xml:space="preserve">https://www.kemenkeu.go.id/informasi-publik/publikasi/siaran-pers/Siaran-Pers-Menkeu-Penerimaan-Perpajakan-Terus</w:t>
        </w:r>
      </w:hyperlink>
      <w:r w:rsidDel="00000000" w:rsidR="00000000" w:rsidRPr="00000000">
        <w:rPr>
          <w:rtl w:val="0"/>
        </w:rPr>
      </w:r>
    </w:p>
    <w:p w:rsidR="00000000" w:rsidDel="00000000" w:rsidP="00000000" w:rsidRDefault="00000000" w:rsidRPr="00000000" w14:paraId="00000091">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MENKEU LAPORKAN PENDAPATAN NEGARA Rp574,9 TRILIUN PER KUARTAL I 2026, </w:t>
      </w:r>
      <w:hyperlink r:id="rId29">
        <w:r w:rsidDel="00000000" w:rsidR="00000000" w:rsidRPr="00000000">
          <w:rPr>
            <w:rFonts w:ascii="Google Sans" w:cs="Google Sans" w:eastAsia="Google Sans" w:hAnsi="Google Sans"/>
            <w:color w:val="0000ee"/>
            <w:sz w:val="24"/>
            <w:szCs w:val="24"/>
            <w:u w:val="single"/>
            <w:rtl w:val="0"/>
          </w:rPr>
          <w:t xml:space="preserve">https://itrade.cgsi.co.id/menkeu-laporkan-pendapatan-negara-rp5749-triliun-per-kuartal-i-2026</w:t>
        </w:r>
      </w:hyperlink>
      <w:r w:rsidDel="00000000" w:rsidR="00000000" w:rsidRPr="00000000">
        <w:rPr>
          <w:rtl w:val="0"/>
        </w:rPr>
      </w:r>
    </w:p>
    <w:p w:rsidR="00000000" w:rsidDel="00000000" w:rsidP="00000000" w:rsidRDefault="00000000" w:rsidRPr="00000000" w14:paraId="00000092">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Kinerja APBN Hingga April 2026 Tetap Solid, Penerimaan Pajak Tumbuh Kuat 16,1%, </w:t>
      </w:r>
      <w:hyperlink r:id="rId30">
        <w:r w:rsidDel="00000000" w:rsidR="00000000" w:rsidRPr="00000000">
          <w:rPr>
            <w:rFonts w:ascii="Google Sans" w:cs="Google Sans" w:eastAsia="Google Sans" w:hAnsi="Google Sans"/>
            <w:color w:val="0000ee"/>
            <w:sz w:val="24"/>
            <w:szCs w:val="24"/>
            <w:u w:val="single"/>
            <w:rtl w:val="0"/>
          </w:rPr>
          <w:t xml:space="preserve">https://www.kemenkeu.go.id/informasi-publik/publikasi/berita-utama/Penerimaan-Pajak-April-2026-Tumbuh-16-Persen</w:t>
        </w:r>
      </w:hyperlink>
      <w:r w:rsidDel="00000000" w:rsidR="00000000" w:rsidRPr="00000000">
        <w:rPr>
          <w:rtl w:val="0"/>
        </w:rPr>
      </w:r>
    </w:p>
    <w:p w:rsidR="00000000" w:rsidDel="00000000" w:rsidP="00000000" w:rsidRDefault="00000000" w:rsidRPr="00000000" w14:paraId="00000093">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KEM PPKF 2026 - Direktorat Jenderal Strategi Ekonomi dan Fiskal, </w:t>
      </w:r>
      <w:hyperlink r:id="rId31">
        <w:r w:rsidDel="00000000" w:rsidR="00000000" w:rsidRPr="00000000">
          <w:rPr>
            <w:rFonts w:ascii="Google Sans" w:cs="Google Sans" w:eastAsia="Google Sans" w:hAnsi="Google Sans"/>
            <w:color w:val="0000ee"/>
            <w:sz w:val="24"/>
            <w:szCs w:val="24"/>
            <w:u w:val="single"/>
            <w:rtl w:val="0"/>
          </w:rPr>
          <w:t xml:space="preserve">https://fiskal.kemenkeu.go.id/files/kemppkf/file/1747711543_kem_ppkf_2026.pdf</w:t>
        </w:r>
      </w:hyperlink>
      <w:r w:rsidDel="00000000" w:rsidR="00000000" w:rsidRPr="00000000">
        <w:rPr>
          <w:rtl w:val="0"/>
        </w:rPr>
      </w:r>
    </w:p>
    <w:p w:rsidR="00000000" w:rsidDel="00000000" w:rsidP="00000000" w:rsidRDefault="00000000" w:rsidRPr="00000000" w14:paraId="00000094">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OECD: Tax Ratio Indonesia Masih Tiga Terendah di Asia-Pasifik - MUC Consulting, </w:t>
      </w:r>
      <w:hyperlink r:id="rId32">
        <w:r w:rsidDel="00000000" w:rsidR="00000000" w:rsidRPr="00000000">
          <w:rPr>
            <w:rFonts w:ascii="Google Sans" w:cs="Google Sans" w:eastAsia="Google Sans" w:hAnsi="Google Sans"/>
            <w:color w:val="0000ee"/>
            <w:sz w:val="24"/>
            <w:szCs w:val="24"/>
            <w:u w:val="single"/>
            <w:rtl w:val="0"/>
          </w:rPr>
          <w:t xml:space="preserve">https://muc.co.id/id/article/oecd-tax-ratio-indonesia-masih-tiga-terendah-di-asia-pasifik</w:t>
        </w:r>
      </w:hyperlink>
      <w:r w:rsidDel="00000000" w:rsidR="00000000" w:rsidRPr="00000000">
        <w:rPr>
          <w:rtl w:val="0"/>
        </w:rPr>
      </w:r>
    </w:p>
    <w:p w:rsidR="00000000" w:rsidDel="00000000" w:rsidP="00000000" w:rsidRDefault="00000000" w:rsidRPr="00000000" w14:paraId="00000095">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OECD: Tax Ratio Indonesia Masih di Bawah Rata-Rata Asia Pasifik - Ortax, </w:t>
      </w:r>
      <w:hyperlink r:id="rId33">
        <w:r w:rsidDel="00000000" w:rsidR="00000000" w:rsidRPr="00000000">
          <w:rPr>
            <w:rFonts w:ascii="Google Sans" w:cs="Google Sans" w:eastAsia="Google Sans" w:hAnsi="Google Sans"/>
            <w:color w:val="0000ee"/>
            <w:sz w:val="24"/>
            <w:szCs w:val="24"/>
            <w:u w:val="single"/>
            <w:rtl w:val="0"/>
          </w:rPr>
          <w:t xml:space="preserve">https://ortax.org/oecd-tax-ratio-indonesia-masih-di-bawah-rata-rata-asia-pasifik</w:t>
        </w:r>
      </w:hyperlink>
      <w:r w:rsidDel="00000000" w:rsidR="00000000" w:rsidRPr="00000000">
        <w:rPr>
          <w:rtl w:val="0"/>
        </w:rPr>
      </w:r>
    </w:p>
    <w:p w:rsidR="00000000" w:rsidDel="00000000" w:rsidP="00000000" w:rsidRDefault="00000000" w:rsidRPr="00000000" w14:paraId="00000096">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Tax Ratio RI pada 2024 Masih Jauh di Bawah Rata-Rata Asia Pasifik - DDTC News, </w:t>
      </w:r>
      <w:hyperlink r:id="rId34">
        <w:r w:rsidDel="00000000" w:rsidR="00000000" w:rsidRPr="00000000">
          <w:rPr>
            <w:rFonts w:ascii="Google Sans" w:cs="Google Sans" w:eastAsia="Google Sans" w:hAnsi="Google Sans"/>
            <w:color w:val="0000ee"/>
            <w:sz w:val="24"/>
            <w:szCs w:val="24"/>
            <w:u w:val="single"/>
            <w:rtl w:val="0"/>
          </w:rPr>
          <w:t xml:space="preserve">https://news.ddtc.co.id/berita/nasional/1820501/tax-ratio-ri-pada-2024-masih-jauh-di-bawah-rata-rata-asia-pasifik</w:t>
        </w:r>
      </w:hyperlink>
      <w:r w:rsidDel="00000000" w:rsidR="00000000" w:rsidRPr="00000000">
        <w:rPr>
          <w:rtl w:val="0"/>
        </w:rPr>
      </w:r>
    </w:p>
    <w:p w:rsidR="00000000" w:rsidDel="00000000" w:rsidP="00000000" w:rsidRDefault="00000000" w:rsidRPr="00000000" w14:paraId="00000097">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Tax Ratio 2025 Turun Jadi 9,31% - Ofisi Prima Consulting, </w:t>
      </w:r>
      <w:hyperlink r:id="rId35">
        <w:r w:rsidDel="00000000" w:rsidR="00000000" w:rsidRPr="00000000">
          <w:rPr>
            <w:rFonts w:ascii="Google Sans" w:cs="Google Sans" w:eastAsia="Google Sans" w:hAnsi="Google Sans"/>
            <w:color w:val="0000ee"/>
            <w:sz w:val="24"/>
            <w:szCs w:val="24"/>
            <w:u w:val="single"/>
            <w:rtl w:val="0"/>
          </w:rPr>
          <w:t xml:space="preserve">https://ofisiprima.com/id/tax-ratio-2025-turun-jadi-931/</w:t>
        </w:r>
      </w:hyperlink>
      <w:r w:rsidDel="00000000" w:rsidR="00000000" w:rsidRPr="00000000">
        <w:rPr>
          <w:rtl w:val="0"/>
        </w:rPr>
      </w:r>
    </w:p>
    <w:p w:rsidR="00000000" w:rsidDel="00000000" w:rsidP="00000000" w:rsidRDefault="00000000" w:rsidRPr="00000000" w14:paraId="00000098">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Dengan Hormat, Pejabat Negara - JANGAN MENARIK PAJAK SEPERTI BERBURU DI KEBUN BINATANG - CELIOS, </w:t>
      </w:r>
      <w:hyperlink r:id="rId36">
        <w:r w:rsidDel="00000000" w:rsidR="00000000" w:rsidRPr="00000000">
          <w:rPr>
            <w:rFonts w:ascii="Google Sans" w:cs="Google Sans" w:eastAsia="Google Sans" w:hAnsi="Google Sans"/>
            <w:color w:val="0000ee"/>
            <w:sz w:val="24"/>
            <w:szCs w:val="24"/>
            <w:u w:val="single"/>
            <w:rtl w:val="0"/>
          </w:rPr>
          <w:t xml:space="preserve">https://celios.co.id/wp-content/uploads/2025/08/CELIOS-Dengan-Hormat-Pejabat-Negara-Jangan-Menarik-Pajak-Seperti-Berburu-di-Kebun-Binatang_2025_.pdf</w:t>
        </w:r>
      </w:hyperlink>
      <w:r w:rsidDel="00000000" w:rsidR="00000000" w:rsidRPr="00000000">
        <w:rPr>
          <w:rtl w:val="0"/>
        </w:rPr>
      </w:r>
    </w:p>
    <w:p w:rsidR="00000000" w:rsidDel="00000000" w:rsidP="00000000" w:rsidRDefault="00000000" w:rsidRPr="00000000" w14:paraId="00000099">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Tax Ratio Indonesia Masih Peringkat Ketiga Terendah di Asia-Pasifik - IKPI, </w:t>
      </w:r>
      <w:hyperlink r:id="rId37">
        <w:r w:rsidDel="00000000" w:rsidR="00000000" w:rsidRPr="00000000">
          <w:rPr>
            <w:rFonts w:ascii="Google Sans" w:cs="Google Sans" w:eastAsia="Google Sans" w:hAnsi="Google Sans"/>
            <w:color w:val="0000ee"/>
            <w:sz w:val="24"/>
            <w:szCs w:val="24"/>
            <w:u w:val="single"/>
            <w:rtl w:val="0"/>
          </w:rPr>
          <w:t xml:space="preserve">https://ikpi.or.id/tax-ratio-indonesia-masih-peringkat-ketiga-terendah-di-asia-pasifik/</w:t>
        </w:r>
      </w:hyperlink>
      <w:r w:rsidDel="00000000" w:rsidR="00000000" w:rsidRPr="00000000">
        <w:rPr>
          <w:rtl w:val="0"/>
        </w:rPr>
      </w:r>
    </w:p>
    <w:p w:rsidR="00000000" w:rsidDel="00000000" w:rsidP="00000000" w:rsidRDefault="00000000" w:rsidRPr="00000000" w14:paraId="0000009A">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Hingga 31 Agustus, Pendapatan Negara Tahun 2025 Catatkan Rp1.638,7 T, </w:t>
      </w:r>
      <w:hyperlink r:id="rId38">
        <w:r w:rsidDel="00000000" w:rsidR="00000000" w:rsidRPr="00000000">
          <w:rPr>
            <w:rFonts w:ascii="Google Sans" w:cs="Google Sans" w:eastAsia="Google Sans" w:hAnsi="Google Sans"/>
            <w:color w:val="0000ee"/>
            <w:sz w:val="24"/>
            <w:szCs w:val="24"/>
            <w:u w:val="single"/>
            <w:rtl w:val="0"/>
          </w:rPr>
          <w:t xml:space="preserve">https://www.kemenkeu.go.id/informasi-publik/publikasi/berita-utama/Pendapatan-Negara-Tahun-2025-Catatkan-Rp1-638,7-T</w:t>
        </w:r>
      </w:hyperlink>
      <w:r w:rsidDel="00000000" w:rsidR="00000000" w:rsidRPr="00000000">
        <w:rPr>
          <w:rtl w:val="0"/>
        </w:rPr>
      </w:r>
    </w:p>
    <w:p w:rsidR="00000000" w:rsidDel="00000000" w:rsidP="00000000" w:rsidRDefault="00000000" w:rsidRPr="00000000" w14:paraId="0000009B">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PNBP Tumbuh 19,9% hingga Mei 2026, Capai Rp226,4 Triliun - IKPI, </w:t>
      </w:r>
      <w:hyperlink r:id="rId39">
        <w:r w:rsidDel="00000000" w:rsidR="00000000" w:rsidRPr="00000000">
          <w:rPr>
            <w:rFonts w:ascii="Google Sans" w:cs="Google Sans" w:eastAsia="Google Sans" w:hAnsi="Google Sans"/>
            <w:color w:val="0000ee"/>
            <w:sz w:val="24"/>
            <w:szCs w:val="24"/>
            <w:u w:val="single"/>
            <w:rtl w:val="0"/>
          </w:rPr>
          <w:t xml:space="preserve">https://ikpi.or.id/pnbp-tumbuh-199-hingga-mei-2026-capai-rp2264-triliun/</w:t>
        </w:r>
      </w:hyperlink>
      <w:r w:rsidDel="00000000" w:rsidR="00000000" w:rsidRPr="00000000">
        <w:rPr>
          <w:rtl w:val="0"/>
        </w:rPr>
      </w:r>
    </w:p>
    <w:p w:rsidR="00000000" w:rsidDel="00000000" w:rsidP="00000000" w:rsidRDefault="00000000" w:rsidRPr="00000000" w14:paraId="0000009C">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APBN KITA - Direktorat Jenderal Perimbangan Keuangan, </w:t>
      </w:r>
      <w:hyperlink r:id="rId40">
        <w:r w:rsidDel="00000000" w:rsidR="00000000" w:rsidRPr="00000000">
          <w:rPr>
            <w:rFonts w:ascii="Google Sans" w:cs="Google Sans" w:eastAsia="Google Sans" w:hAnsi="Google Sans"/>
            <w:color w:val="0000ee"/>
            <w:sz w:val="24"/>
            <w:szCs w:val="24"/>
            <w:u w:val="single"/>
            <w:rtl w:val="0"/>
          </w:rPr>
          <w:t xml:space="preserve">https://djpk.kemenkeu.go.id/wp-content/uploads/2020/02/apbn-kita-juni-2019.pdf</w:t>
        </w:r>
      </w:hyperlink>
      <w:r w:rsidDel="00000000" w:rsidR="00000000" w:rsidRPr="00000000">
        <w:rPr>
          <w:rtl w:val="0"/>
        </w:rPr>
      </w:r>
    </w:p>
    <w:p w:rsidR="00000000" w:rsidDel="00000000" w:rsidP="00000000" w:rsidRDefault="00000000" w:rsidRPr="00000000" w14:paraId="0000009D">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ESDM Tetapkan Harga ICP US$ 102,26 Per Barel - Tempo.co, </w:t>
      </w:r>
      <w:hyperlink r:id="rId41">
        <w:r w:rsidDel="00000000" w:rsidR="00000000" w:rsidRPr="00000000">
          <w:rPr>
            <w:rFonts w:ascii="Google Sans" w:cs="Google Sans" w:eastAsia="Google Sans" w:hAnsi="Google Sans"/>
            <w:color w:val="0000ee"/>
            <w:sz w:val="24"/>
            <w:szCs w:val="24"/>
            <w:u w:val="single"/>
            <w:rtl w:val="0"/>
          </w:rPr>
          <w:t xml:space="preserve">https://www.tempo.co/ekonomi/esdm-tetapkan-harga-icp-us-102-26-per-barel-2129795</w:t>
        </w:r>
      </w:hyperlink>
      <w:r w:rsidDel="00000000" w:rsidR="00000000" w:rsidRPr="00000000">
        <w:rPr>
          <w:rtl w:val="0"/>
        </w:rPr>
      </w:r>
    </w:p>
    <w:p w:rsidR="00000000" w:rsidDel="00000000" w:rsidP="00000000" w:rsidRDefault="00000000" w:rsidRPr="00000000" w14:paraId="0000009E">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ICP April 2026 Naik ke USD117,31 per Barel, Imbas Eskalasi Konflik di Timur Tengah, </w:t>
      </w:r>
      <w:hyperlink r:id="rId42">
        <w:r w:rsidDel="00000000" w:rsidR="00000000" w:rsidRPr="00000000">
          <w:rPr>
            <w:rFonts w:ascii="Google Sans" w:cs="Google Sans" w:eastAsia="Google Sans" w:hAnsi="Google Sans"/>
            <w:color w:val="0000ee"/>
            <w:sz w:val="24"/>
            <w:szCs w:val="24"/>
            <w:u w:val="single"/>
            <w:rtl w:val="0"/>
          </w:rPr>
          <w:t xml:space="preserve">https://www.esdm.go.id/id/media-center/arsip-berita/icp-april-2026-naik-ke-usd11731-per-barel-imbas-eskalasi-konflik-di-timur-tengah</w:t>
        </w:r>
      </w:hyperlink>
      <w:r w:rsidDel="00000000" w:rsidR="00000000" w:rsidRPr="00000000">
        <w:rPr>
          <w:rtl w:val="0"/>
        </w:rPr>
      </w:r>
    </w:p>
    <w:p w:rsidR="00000000" w:rsidDel="00000000" w:rsidP="00000000" w:rsidRDefault="00000000" w:rsidRPr="00000000" w14:paraId="0000009F">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Arsip Berita - ICP Maret 2026 Tembus USD102,26 per Barel, Dipicu Eskalasi Konflik Global, </w:t>
      </w:r>
      <w:hyperlink r:id="rId43">
        <w:r w:rsidDel="00000000" w:rsidR="00000000" w:rsidRPr="00000000">
          <w:rPr>
            <w:rFonts w:ascii="Google Sans" w:cs="Google Sans" w:eastAsia="Google Sans" w:hAnsi="Google Sans"/>
            <w:color w:val="0000ee"/>
            <w:sz w:val="24"/>
            <w:szCs w:val="24"/>
            <w:u w:val="single"/>
            <w:rtl w:val="0"/>
          </w:rPr>
          <w:t xml:space="preserve">https://www.esdm.go.id/id/media-center/arsip-berita/icp-maret-2026-tembus-usd10226-per-barel-dipicu-eskalasi-konflik-global</w:t>
        </w:r>
      </w:hyperlink>
      <w:r w:rsidDel="00000000" w:rsidR="00000000" w:rsidRPr="00000000">
        <w:rPr>
          <w:rtl w:val="0"/>
        </w:rPr>
      </w:r>
    </w:p>
    <w:p w:rsidR="00000000" w:rsidDel="00000000" w:rsidP="00000000" w:rsidRDefault="00000000" w:rsidRPr="00000000" w14:paraId="000000A0">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Belanja dan Pembiayaan RAPBN 2026 - INDEF, </w:t>
      </w:r>
      <w:hyperlink r:id="rId44">
        <w:r w:rsidDel="00000000" w:rsidR="00000000" w:rsidRPr="00000000">
          <w:rPr>
            <w:rFonts w:ascii="Google Sans" w:cs="Google Sans" w:eastAsia="Google Sans" w:hAnsi="Google Sans"/>
            <w:color w:val="0000ee"/>
            <w:sz w:val="24"/>
            <w:szCs w:val="24"/>
            <w:u w:val="single"/>
            <w:rtl w:val="0"/>
          </w:rPr>
          <w:t xml:space="preserve">https://indef.or.id/wp-content/uploads/2025/08/Paparan_Riza-Pujarama.pdf</w:t>
        </w:r>
      </w:hyperlink>
      <w:r w:rsidDel="00000000" w:rsidR="00000000" w:rsidRPr="00000000">
        <w:rPr>
          <w:rtl w:val="0"/>
        </w:rPr>
      </w:r>
    </w:p>
    <w:p w:rsidR="00000000" w:rsidDel="00000000" w:rsidP="00000000" w:rsidRDefault="00000000" w:rsidRPr="00000000" w14:paraId="000000A1">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Beban Utang Membengkak, Setengah Penerimaan Pajak Terancam Tersedot, </w:t>
      </w:r>
      <w:hyperlink r:id="rId45">
        <w:r w:rsidDel="00000000" w:rsidR="00000000" w:rsidRPr="00000000">
          <w:rPr>
            <w:rFonts w:ascii="Google Sans" w:cs="Google Sans" w:eastAsia="Google Sans" w:hAnsi="Google Sans"/>
            <w:color w:val="0000ee"/>
            <w:sz w:val="24"/>
            <w:szCs w:val="24"/>
            <w:u w:val="single"/>
            <w:rtl w:val="0"/>
          </w:rPr>
          <w:t xml:space="preserve">https://www.ssas.co.id/beban-utang-membengkak-setengah-penerimaan-pajak-terancam-tersedot/</w:t>
        </w:r>
      </w:hyperlink>
      <w:r w:rsidDel="00000000" w:rsidR="00000000" w:rsidRPr="00000000">
        <w:rPr>
          <w:rtl w:val="0"/>
        </w:rPr>
      </w:r>
    </w:p>
    <w:p w:rsidR="00000000" w:rsidDel="00000000" w:rsidP="00000000" w:rsidRDefault="00000000" w:rsidRPr="00000000" w14:paraId="000000A2">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LKPP - Kementerian Keuangan, </w:t>
      </w:r>
      <w:hyperlink r:id="rId46">
        <w:r w:rsidDel="00000000" w:rsidR="00000000" w:rsidRPr="00000000">
          <w:rPr>
            <w:rFonts w:ascii="Google Sans" w:cs="Google Sans" w:eastAsia="Google Sans" w:hAnsi="Google Sans"/>
            <w:color w:val="0000ee"/>
            <w:sz w:val="24"/>
            <w:szCs w:val="24"/>
            <w:u w:val="single"/>
            <w:rtl w:val="0"/>
          </w:rPr>
          <w:t xml:space="preserve">https://media.kemenkeu.go.id/getmedia/3421d280-da5a-4e63-8bab-d38c8633bacc/lkpp-2020.pdf?ext=.pdf</w:t>
        </w:r>
      </w:hyperlink>
      <w:r w:rsidDel="00000000" w:rsidR="00000000" w:rsidRPr="00000000">
        <w:rPr>
          <w:rtl w:val="0"/>
        </w:rPr>
      </w:r>
    </w:p>
    <w:p w:rsidR="00000000" w:rsidDel="00000000" w:rsidP="00000000" w:rsidRDefault="00000000" w:rsidRPr="00000000" w14:paraId="000000A3">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KAJIAN DAMPAK UNDANG-UNDANG NO 1 TAHUN 2022 TENTANG HUBUNGAN KEUANGAN ANTARA PEMERINTAH PUSAT DAN PEMERINTAH DAERAH TERHADAP REG - JDIH DPRD Jateng, </w:t>
      </w:r>
      <w:hyperlink r:id="rId47">
        <w:r w:rsidDel="00000000" w:rsidR="00000000" w:rsidRPr="00000000">
          <w:rPr>
            <w:rFonts w:ascii="Google Sans" w:cs="Google Sans" w:eastAsia="Google Sans" w:hAnsi="Google Sans"/>
            <w:color w:val="0000ee"/>
            <w:sz w:val="24"/>
            <w:szCs w:val="24"/>
            <w:u w:val="single"/>
            <w:rtl w:val="0"/>
          </w:rPr>
          <w:t xml:space="preserve">https://jdih.dprd.jatengprov.go.id/content/Kajian_PERDA_2024/LAPDUL%20Kajian_Dampak_UU_HKPD_terhadap_Regulasi_lain_di_jateng%5B1%5D.pdf?utm_source=chatgpt.com</w:t>
        </w:r>
      </w:hyperlink>
      <w:r w:rsidDel="00000000" w:rsidR="00000000" w:rsidRPr="00000000">
        <w:rPr>
          <w:rtl w:val="0"/>
        </w:rPr>
      </w:r>
    </w:p>
    <w:p w:rsidR="00000000" w:rsidDel="00000000" w:rsidP="00000000" w:rsidRDefault="00000000" w:rsidRPr="00000000" w14:paraId="000000A4">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AUDITED - Kementerian Keuangan, </w:t>
      </w:r>
      <w:hyperlink r:id="rId48">
        <w:r w:rsidDel="00000000" w:rsidR="00000000" w:rsidRPr="00000000">
          <w:rPr>
            <w:rFonts w:ascii="Google Sans" w:cs="Google Sans" w:eastAsia="Google Sans" w:hAnsi="Google Sans"/>
            <w:color w:val="0000ee"/>
            <w:sz w:val="24"/>
            <w:szCs w:val="24"/>
            <w:u w:val="single"/>
            <w:rtl w:val="0"/>
          </w:rPr>
          <w:t xml:space="preserve">https://media.kemenkeu.go.id/getmedia/95c48b70-55b4-4b48-bc20-48c9f3eb97a5/lkpp-2018.pdf?ext=.pdf</w:t>
        </w:r>
      </w:hyperlink>
      <w:r w:rsidDel="00000000" w:rsidR="00000000" w:rsidRPr="00000000">
        <w:rPr>
          <w:rtl w:val="0"/>
        </w:rPr>
      </w:r>
    </w:p>
    <w:p w:rsidR="00000000" w:rsidDel="00000000" w:rsidP="00000000" w:rsidRDefault="00000000" w:rsidRPr="00000000" w14:paraId="000000A5">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UU HKPD: Re-Design Desentralisasi Fiskal - DJPb, </w:t>
      </w:r>
      <w:hyperlink r:id="rId49">
        <w:r w:rsidDel="00000000" w:rsidR="00000000" w:rsidRPr="00000000">
          <w:rPr>
            <w:rFonts w:ascii="Google Sans" w:cs="Google Sans" w:eastAsia="Google Sans" w:hAnsi="Google Sans"/>
            <w:color w:val="0000ee"/>
            <w:sz w:val="24"/>
            <w:szCs w:val="24"/>
            <w:u w:val="single"/>
            <w:rtl w:val="0"/>
          </w:rPr>
          <w:t xml:space="preserve">https://djpb.kemenkeu.go.id/portal/id/berita/lainnya/opini/3890-uu-hkpd-</w:t>
        </w:r>
      </w:hyperlink>
      <w:r w:rsidDel="00000000" w:rsidR="00000000" w:rsidRPr="00000000">
        <w:rPr>
          <w:rtl w:val="0"/>
        </w:rPr>
      </w:r>
    </w:p>
    <w:p w:rsidR="00000000" w:rsidDel="00000000" w:rsidP="00000000" w:rsidRDefault="00000000" w:rsidRPr="00000000" w14:paraId="000000A6">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APBN KITA - Direktorat Jenderal Perimbangan Keuangan, </w:t>
      </w:r>
      <w:hyperlink r:id="rId50">
        <w:r w:rsidDel="00000000" w:rsidR="00000000" w:rsidRPr="00000000">
          <w:rPr>
            <w:rFonts w:ascii="Google Sans" w:cs="Google Sans" w:eastAsia="Google Sans" w:hAnsi="Google Sans"/>
            <w:color w:val="0000ee"/>
            <w:sz w:val="24"/>
            <w:szCs w:val="24"/>
            <w:u w:val="single"/>
            <w:rtl w:val="0"/>
          </w:rPr>
          <w:t xml:space="preserve">https://djpk.kemenkeu.go.id/wp-content/uploads/2022/11/apbn-kita-februari-2022.pdf</w:t>
        </w:r>
      </w:hyperlink>
      <w:r w:rsidDel="00000000" w:rsidR="00000000" w:rsidRPr="00000000">
        <w:rPr>
          <w:rtl w:val="0"/>
        </w:rPr>
      </w:r>
    </w:p>
    <w:p w:rsidR="00000000" w:rsidDel="00000000" w:rsidP="00000000" w:rsidRDefault="00000000" w:rsidRPr="00000000" w14:paraId="000000A7">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Rudy C Tarumingkeng: APBN sebagai “Mesin Eksekusi” Program, </w:t>
      </w:r>
      <w:hyperlink r:id="rId51">
        <w:r w:rsidDel="00000000" w:rsidR="00000000" w:rsidRPr="00000000">
          <w:rPr>
            <w:rFonts w:ascii="Google Sans" w:cs="Google Sans" w:eastAsia="Google Sans" w:hAnsi="Google Sans"/>
            <w:color w:val="0000ee"/>
            <w:sz w:val="24"/>
            <w:szCs w:val="24"/>
            <w:u w:val="single"/>
            <w:rtl w:val="0"/>
          </w:rPr>
          <w:t xml:space="preserve">https://rudyct.com/ab/APBN.sebagai-Mesin.Eksekusi-Program.Prioritas.pdf</w:t>
        </w:r>
      </w:hyperlink>
      <w:r w:rsidDel="00000000" w:rsidR="00000000" w:rsidRPr="00000000">
        <w:rPr>
          <w:rtl w:val="0"/>
        </w:rPr>
      </w:r>
    </w:p>
    <w:p w:rsidR="00000000" w:rsidDel="00000000" w:rsidP="00000000" w:rsidRDefault="00000000" w:rsidRPr="00000000" w14:paraId="000000A8">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APBN 2026 Fokus ke Belanja yang Sentuh Rakyat dan Kurangi TKD - IKPI, </w:t>
      </w:r>
      <w:hyperlink r:id="rId52">
        <w:r w:rsidDel="00000000" w:rsidR="00000000" w:rsidRPr="00000000">
          <w:rPr>
            <w:rFonts w:ascii="Google Sans" w:cs="Google Sans" w:eastAsia="Google Sans" w:hAnsi="Google Sans"/>
            <w:color w:val="0000ee"/>
            <w:sz w:val="24"/>
            <w:szCs w:val="24"/>
            <w:u w:val="single"/>
            <w:rtl w:val="0"/>
          </w:rPr>
          <w:t xml:space="preserve">https://ikpi.or.id/apbn-2026-fokus-ke-belanja-yang-sentuh-rakyat-dan-kurangi-tkd/</w:t>
        </w:r>
      </w:hyperlink>
      <w:r w:rsidDel="00000000" w:rsidR="00000000" w:rsidRPr="00000000">
        <w:rPr>
          <w:rtl w:val="0"/>
        </w:rPr>
      </w:r>
    </w:p>
    <w:p w:rsidR="00000000" w:rsidDel="00000000" w:rsidP="00000000" w:rsidRDefault="00000000" w:rsidRPr="00000000" w14:paraId="000000A9">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Belanja Pemerintah Pusat Menurut Jenisnya - Barisandata.co, </w:t>
      </w:r>
      <w:hyperlink r:id="rId53">
        <w:r w:rsidDel="00000000" w:rsidR="00000000" w:rsidRPr="00000000">
          <w:rPr>
            <w:rFonts w:ascii="Google Sans" w:cs="Google Sans" w:eastAsia="Google Sans" w:hAnsi="Google Sans"/>
            <w:color w:val="0000ee"/>
            <w:sz w:val="24"/>
            <w:szCs w:val="24"/>
            <w:u w:val="single"/>
            <w:rtl w:val="0"/>
          </w:rPr>
          <w:t xml:space="preserve">https://barisandata.co/ekonopedia/3603/belanja-pemerintah-pusat-menurut-jenisnya/</w:t>
        </w:r>
      </w:hyperlink>
      <w:r w:rsidDel="00000000" w:rsidR="00000000" w:rsidRPr="00000000">
        <w:rPr>
          <w:rtl w:val="0"/>
        </w:rPr>
      </w:r>
    </w:p>
    <w:p w:rsidR="00000000" w:rsidDel="00000000" w:rsidP="00000000" w:rsidRDefault="00000000" w:rsidRPr="00000000" w14:paraId="000000AA">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Crowding Out and Multiplier Effect in Indonesia - ResearchGate, </w:t>
      </w:r>
      <w:hyperlink r:id="rId54">
        <w:r w:rsidDel="00000000" w:rsidR="00000000" w:rsidRPr="00000000">
          <w:rPr>
            <w:rFonts w:ascii="Google Sans" w:cs="Google Sans" w:eastAsia="Google Sans" w:hAnsi="Google Sans"/>
            <w:color w:val="0000ee"/>
            <w:sz w:val="24"/>
            <w:szCs w:val="24"/>
            <w:u w:val="single"/>
            <w:rtl w:val="0"/>
          </w:rPr>
          <w:t xml:space="preserve">https://www.researchgate.net/publication/392116929_Crowding_Out_and_Multiplier_Effect_in_Indonesia</w:t>
        </w:r>
      </w:hyperlink>
      <w:r w:rsidDel="00000000" w:rsidR="00000000" w:rsidRPr="00000000">
        <w:rPr>
          <w:rtl w:val="0"/>
        </w:rPr>
      </w:r>
    </w:p>
    <w:p w:rsidR="00000000" w:rsidDel="00000000" w:rsidP="00000000" w:rsidRDefault="00000000" w:rsidRPr="00000000" w14:paraId="000000AB">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INDONESIAN TREASURY REVIEW, </w:t>
      </w:r>
      <w:hyperlink r:id="rId55">
        <w:r w:rsidDel="00000000" w:rsidR="00000000" w:rsidRPr="00000000">
          <w:rPr>
            <w:rFonts w:ascii="Google Sans" w:cs="Google Sans" w:eastAsia="Google Sans" w:hAnsi="Google Sans"/>
            <w:color w:val="0000ee"/>
            <w:sz w:val="24"/>
            <w:szCs w:val="24"/>
            <w:u w:val="single"/>
            <w:rtl w:val="0"/>
          </w:rPr>
          <w:t xml:space="preserve">https://itrev.kemenkeu.go.id/index.php/ITRev/article/download/1251/291/14171</w:t>
        </w:r>
      </w:hyperlink>
      <w:r w:rsidDel="00000000" w:rsidR="00000000" w:rsidRPr="00000000">
        <w:rPr>
          <w:rtl w:val="0"/>
        </w:rPr>
      </w:r>
    </w:p>
    <w:p w:rsidR="00000000" w:rsidDel="00000000" w:rsidP="00000000" w:rsidRDefault="00000000" w:rsidRPr="00000000" w14:paraId="000000AC">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Pemerintah Rancang APBN 2023, Defisit Dipatok 2,85% - MUC Consulting, </w:t>
      </w:r>
      <w:hyperlink r:id="rId56">
        <w:r w:rsidDel="00000000" w:rsidR="00000000" w:rsidRPr="00000000">
          <w:rPr>
            <w:rFonts w:ascii="Google Sans" w:cs="Google Sans" w:eastAsia="Google Sans" w:hAnsi="Google Sans"/>
            <w:color w:val="0000ee"/>
            <w:sz w:val="24"/>
            <w:szCs w:val="24"/>
            <w:u w:val="single"/>
            <w:rtl w:val="0"/>
          </w:rPr>
          <w:t xml:space="preserve">https://muc.co.id/id/article/pemerintah-rancang-apbn-2023-defisit-dipatok-285</w:t>
        </w:r>
      </w:hyperlink>
      <w:r w:rsidDel="00000000" w:rsidR="00000000" w:rsidRPr="00000000">
        <w:rPr>
          <w:rtl w:val="0"/>
        </w:rPr>
      </w:r>
    </w:p>
    <w:p w:rsidR="00000000" w:rsidDel="00000000" w:rsidP="00000000" w:rsidRDefault="00000000" w:rsidRPr="00000000" w14:paraId="000000AD">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Lonjakan Harga Minyak Global Dinilai Dapat Bebankan Subsidi Energi Hingga Rp400 Triliun - IMCNEWS, </w:t>
      </w:r>
      <w:hyperlink r:id="rId57">
        <w:r w:rsidDel="00000000" w:rsidR="00000000" w:rsidRPr="00000000">
          <w:rPr>
            <w:rFonts w:ascii="Google Sans" w:cs="Google Sans" w:eastAsia="Google Sans" w:hAnsi="Google Sans"/>
            <w:color w:val="0000ee"/>
            <w:sz w:val="24"/>
            <w:szCs w:val="24"/>
            <w:u w:val="single"/>
            <w:rtl w:val="0"/>
          </w:rPr>
          <w:t xml:space="preserve">https://imcnews.id/read/2026/03/30/26705/lonjakan-harga-minyak-global-dinilai-dapat-bebankan-subsidi-energi-hingga-rp400-triliun/</w:t>
        </w:r>
      </w:hyperlink>
      <w:r w:rsidDel="00000000" w:rsidR="00000000" w:rsidRPr="00000000">
        <w:rPr>
          <w:rtl w:val="0"/>
        </w:rPr>
      </w:r>
    </w:p>
    <w:p w:rsidR="00000000" w:rsidDel="00000000" w:rsidP="00000000" w:rsidRDefault="00000000" w:rsidRPr="00000000" w14:paraId="000000AE">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PENGUNGKAPAN RISIKO FISKAL DALAM NOTA KEUANGAN 2024, </w:t>
      </w:r>
      <w:hyperlink r:id="rId58">
        <w:r w:rsidDel="00000000" w:rsidR="00000000" w:rsidRPr="00000000">
          <w:rPr>
            <w:rFonts w:ascii="Google Sans" w:cs="Google Sans" w:eastAsia="Google Sans" w:hAnsi="Google Sans"/>
            <w:color w:val="0000ee"/>
            <w:sz w:val="24"/>
            <w:szCs w:val="24"/>
            <w:u w:val="single"/>
            <w:rtl w:val="0"/>
          </w:rPr>
          <w:t xml:space="preserve">https://api-djppr.kemenkeu.go.id/web/api/v1/media/920A87B3-66FC-4F4F-8AA1-591AB79715E7</w:t>
        </w:r>
      </w:hyperlink>
      <w:r w:rsidDel="00000000" w:rsidR="00000000" w:rsidRPr="00000000">
        <w:rPr>
          <w:rtl w:val="0"/>
        </w:rPr>
      </w:r>
    </w:p>
    <w:p w:rsidR="00000000" w:rsidDel="00000000" w:rsidP="00000000" w:rsidRDefault="00000000" w:rsidRPr="00000000" w14:paraId="000000AF">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Dialokasikan Sebagai Anggaran Pendidikan Namun Tidak Terealisasi - Barisandata.co, </w:t>
      </w:r>
      <w:hyperlink r:id="rId59">
        <w:r w:rsidDel="00000000" w:rsidR="00000000" w:rsidRPr="00000000">
          <w:rPr>
            <w:rFonts w:ascii="Google Sans" w:cs="Google Sans" w:eastAsia="Google Sans" w:hAnsi="Google Sans"/>
            <w:color w:val="0000ee"/>
            <w:sz w:val="24"/>
            <w:szCs w:val="24"/>
            <w:u w:val="single"/>
            <w:rtl w:val="0"/>
          </w:rPr>
          <w:t xml:space="preserve">https://barisandata.co/analisis/3837/dialokasikan-sebagai-anggaran-pendidikan-namun-tidak-terealisasi/</w:t>
        </w:r>
      </w:hyperlink>
      <w:r w:rsidDel="00000000" w:rsidR="00000000" w:rsidRPr="00000000">
        <w:rPr>
          <w:rtl w:val="0"/>
        </w:rPr>
      </w:r>
    </w:p>
    <w:p w:rsidR="00000000" w:rsidDel="00000000" w:rsidP="00000000" w:rsidRDefault="00000000" w:rsidRPr="00000000" w14:paraId="000000B0">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Lensa Parlemen - Stop Utak-Atik Mandatory Spending Pendidikan - YouTube, </w:t>
      </w:r>
      <w:hyperlink r:id="rId60">
        <w:r w:rsidDel="00000000" w:rsidR="00000000" w:rsidRPr="00000000">
          <w:rPr>
            <w:rFonts w:ascii="Google Sans" w:cs="Google Sans" w:eastAsia="Google Sans" w:hAnsi="Google Sans"/>
            <w:color w:val="0000ee"/>
            <w:sz w:val="24"/>
            <w:szCs w:val="24"/>
            <w:u w:val="single"/>
            <w:rtl w:val="0"/>
          </w:rPr>
          <w:t xml:space="preserve">https://www.youtube.com/watch?v=wg17wr_uUGE</w:t>
        </w:r>
      </w:hyperlink>
      <w:r w:rsidDel="00000000" w:rsidR="00000000" w:rsidRPr="00000000">
        <w:rPr>
          <w:rtl w:val="0"/>
        </w:rPr>
      </w:r>
    </w:p>
    <w:p w:rsidR="00000000" w:rsidDel="00000000" w:rsidP="00000000" w:rsidRDefault="00000000" w:rsidRPr="00000000" w14:paraId="000000B1">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Risiko Fiskal - Kementerian Keuangan, </w:t>
      </w:r>
      <w:hyperlink r:id="rId61">
        <w:r w:rsidDel="00000000" w:rsidR="00000000" w:rsidRPr="00000000">
          <w:rPr>
            <w:rFonts w:ascii="Google Sans" w:cs="Google Sans" w:eastAsia="Google Sans" w:hAnsi="Google Sans"/>
            <w:color w:val="0000ee"/>
            <w:sz w:val="24"/>
            <w:szCs w:val="24"/>
            <w:u w:val="single"/>
            <w:rtl w:val="0"/>
          </w:rPr>
          <w:t xml:space="preserve">https://api-djppr.kemenkeu.go.id/web/api/v1/media/11F38040-FA3A-439D-ABF6-7F3E71651506</w:t>
        </w:r>
      </w:hyperlink>
      <w:r w:rsidDel="00000000" w:rsidR="00000000" w:rsidRPr="00000000">
        <w:rPr>
          <w:rtl w:val="0"/>
        </w:rPr>
      </w:r>
    </w:p>
    <w:sectPr>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Google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60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48"/>
      <w:szCs w:val="48"/>
    </w:rPr>
  </w:style>
  <w:style w:type="paragraph" w:styleId="Heading2">
    <w:name w:val="heading 2"/>
    <w:basedOn w:val="Normal"/>
    <w:next w:val="Normal"/>
    <w:pPr>
      <w:pBdr>
        <w:top w:space="0" w:sz="0" w:val="nil"/>
        <w:left w:space="0" w:sz="0" w:val="nil"/>
        <w:bottom w:space="0" w:sz="0" w:val="nil"/>
        <w:right w:space="0" w:sz="0" w:val="nil"/>
        <w:between w:space="0" w:sz="0" w:val="nil"/>
      </w:pBdr>
      <w:shd w:fill="auto" w:val="clear"/>
      <w:spacing w:after="225" w:before="225" w:lineRule="auto"/>
    </w:pPr>
    <w:rPr>
      <w:b w:val="1"/>
      <w:bCs w:val="1"/>
      <w:i w:val="0"/>
      <w:iCs w:val="0"/>
      <w:sz w:val="36"/>
      <w:szCs w:val="36"/>
    </w:rPr>
  </w:style>
  <w:style w:type="paragraph" w:styleId="Heading3">
    <w:name w:val="heading 3"/>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28"/>
      <w:szCs w:val="28"/>
    </w:rPr>
  </w:style>
  <w:style w:type="paragraph" w:styleId="Heading4">
    <w:name w:val="heading 4"/>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24"/>
      <w:szCs w:val="24"/>
    </w:rPr>
  </w:style>
  <w:style w:type="paragraph" w:styleId="Heading5">
    <w:name w:val="heading 5"/>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18"/>
      <w:szCs w:val="18"/>
    </w:rPr>
  </w:style>
  <w:style w:type="paragraph" w:styleId="Heading6">
    <w:name w:val="heading 6"/>
    <w:basedOn w:val="Normal"/>
    <w:next w:val="Normal"/>
    <w:pPr>
      <w:pBdr>
        <w:top w:space="0" w:sz="0" w:val="nil"/>
        <w:left w:space="0" w:sz="0" w:val="nil"/>
        <w:bottom w:space="0" w:sz="0" w:val="nil"/>
        <w:right w:space="0" w:sz="0" w:val="nil"/>
        <w:between w:space="0" w:sz="0" w:val="nil"/>
      </w:pBdr>
      <w:shd w:fill="auto" w:val="clear"/>
      <w:spacing w:after="360" w:before="360" w:lineRule="auto"/>
    </w:pPr>
    <w:rPr>
      <w:b w:val="1"/>
      <w:bCs w:val="1"/>
      <w:i w:val="0"/>
      <w:iCs w:val="0"/>
      <w:sz w:val="16"/>
      <w:szCs w:val="16"/>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s>
</file>

<file path=word/_rels/document.xml.rels><?xml version="1.0" encoding="UTF-8" standalone="yes"?><Relationships xmlns="http://schemas.openxmlformats.org/package/2006/relationships"><Relationship Id="rId40" Type="http://schemas.openxmlformats.org/officeDocument/2006/relationships/hyperlink" Target="https://djpk.kemenkeu.go.id/wp-content/uploads/2020/02/apbn-kita-juni-2019.pdf" TargetMode="External"/><Relationship Id="rId42" Type="http://schemas.openxmlformats.org/officeDocument/2006/relationships/hyperlink" Target="https://www.esdm.go.id/id/media-center/arsip-berita/icp-april-2026-naik-ke-usd11731-per-barel-imbas-eskalasi-konflik-di-timur-tengah" TargetMode="External"/><Relationship Id="rId41" Type="http://schemas.openxmlformats.org/officeDocument/2006/relationships/hyperlink" Target="https://www.tempo.co/ekonomi/esdm-tetapkan-harga-icp-us-102-26-per-barel-2129795" TargetMode="External"/><Relationship Id="rId44" Type="http://schemas.openxmlformats.org/officeDocument/2006/relationships/hyperlink" Target="https://indef.or.id/wp-content/uploads/2025/08/Paparan_Riza-Pujarama.pdf" TargetMode="External"/><Relationship Id="rId43" Type="http://schemas.openxmlformats.org/officeDocument/2006/relationships/hyperlink" Target="https://www.esdm.go.id/id/media-center/arsip-berita/icp-maret-2026-tembus-usd10226-per-barel-dipicu-eskalasi-konflik-global" TargetMode="External"/><Relationship Id="rId46" Type="http://schemas.openxmlformats.org/officeDocument/2006/relationships/hyperlink" Target="https://media.kemenkeu.go.id/getmedia/3421d280-da5a-4e63-8bab-d38c8633bacc/lkpp-2020.pdf?ext=.pdf" TargetMode="External"/><Relationship Id="rId45" Type="http://schemas.openxmlformats.org/officeDocument/2006/relationships/hyperlink" Target="https://www.ssas.co.id/beban-utang-membengkak-setengah-penerimaan-pajak-terancam-tersedot/"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media.kemenkeu.go.id/getmedia/1710f701-487c-4ae5-bcde-d45eb658318a/lkpp-2015.pdf?ext=.pdf" TargetMode="External"/><Relationship Id="rId48" Type="http://schemas.openxmlformats.org/officeDocument/2006/relationships/hyperlink" Target="https://media.kemenkeu.go.id/getmedia/95c48b70-55b4-4b48-bc20-48c9f3eb97a5/lkpp-2018.pdf?ext=.pdf" TargetMode="External"/><Relationship Id="rId47" Type="http://schemas.openxmlformats.org/officeDocument/2006/relationships/hyperlink" Target="https://jdih.dprd.jatengprov.go.id/content/Kajian_PERDA_2024/LAPDUL%20Kajian_Dampak_UU_HKPD_terhadap_Regulasi_lain_di_jateng%5B1%5D.pdf?utm_source=chatgpt.com" TargetMode="External"/><Relationship Id="rId49" Type="http://schemas.openxmlformats.org/officeDocument/2006/relationships/hyperlink" Target="https://djpb.kemenkeu.go.id/portal/id/berita/lainnya/opini/3890-uu-hkpd-" TargetMode="Externa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yperlink" Target="https://media.kemenkeu.go.id/getmedia/1ec54bcd-c614-4c43-b250-7d4b53976a3a/apbn-2006.pdf" TargetMode="External"/><Relationship Id="rId8" Type="http://schemas.openxmlformats.org/officeDocument/2006/relationships/hyperlink" Target="https://media.kemenkeu.go.id/getmedia/ab659de1-3088-42d9-b853-086fc160c501/lkpp-2006.pdf?ext=.pdf" TargetMode="External"/><Relationship Id="rId31" Type="http://schemas.openxmlformats.org/officeDocument/2006/relationships/hyperlink" Target="https://fiskal.kemenkeu.go.id/files/kemppkf/file/1747711543_kem_ppkf_2026.pdf" TargetMode="External"/><Relationship Id="rId30" Type="http://schemas.openxmlformats.org/officeDocument/2006/relationships/hyperlink" Target="https://www.kemenkeu.go.id/informasi-publik/publikasi/berita-utama/Penerimaan-Pajak-April-2026-Tumbuh-16-Persen" TargetMode="External"/><Relationship Id="rId33" Type="http://schemas.openxmlformats.org/officeDocument/2006/relationships/hyperlink" Target="https://ortax.org/oecd-tax-ratio-indonesia-masih-di-bawah-rata-rata-asia-pasifik" TargetMode="External"/><Relationship Id="rId32" Type="http://schemas.openxmlformats.org/officeDocument/2006/relationships/hyperlink" Target="https://muc.co.id/id/article/oecd-tax-ratio-indonesia-masih-tiga-terendah-di-asia-pasifik" TargetMode="External"/><Relationship Id="rId35" Type="http://schemas.openxmlformats.org/officeDocument/2006/relationships/hyperlink" Target="https://ofisiprima.com/id/tax-ratio-2025-turun-jadi-931/" TargetMode="External"/><Relationship Id="rId34" Type="http://schemas.openxmlformats.org/officeDocument/2006/relationships/hyperlink" Target="https://news.ddtc.co.id/berita/nasional/1820501/tax-ratio-ri-pada-2024-masih-jauh-di-bawah-rata-rata-asia-pasifik" TargetMode="External"/><Relationship Id="rId37" Type="http://schemas.openxmlformats.org/officeDocument/2006/relationships/hyperlink" Target="https://ikpi.or.id/tax-ratio-indonesia-masih-peringkat-ketiga-terendah-di-asia-pasifik/" TargetMode="External"/><Relationship Id="rId36" Type="http://schemas.openxmlformats.org/officeDocument/2006/relationships/hyperlink" Target="https://celios.co.id/wp-content/uploads/2025/08/CELIOS-Dengan-Hormat-Pejabat-Negara-Jangan-Menarik-Pajak-Seperti-Berburu-di-Kebun-Binatang_2025_.pdf" TargetMode="External"/><Relationship Id="rId39" Type="http://schemas.openxmlformats.org/officeDocument/2006/relationships/hyperlink" Target="https://ikpi.or.id/pnbp-tumbuh-199-hingga-mei-2026-capai-rp2264-triliun/" TargetMode="External"/><Relationship Id="rId38" Type="http://schemas.openxmlformats.org/officeDocument/2006/relationships/hyperlink" Target="https://www.kemenkeu.go.id/informasi-publik/publikasi/berita-utama/Pendapatan-Negara-Tahun-2025-Catatkan-Rp1-638,7-T" TargetMode="External"/><Relationship Id="rId61" Type="http://schemas.openxmlformats.org/officeDocument/2006/relationships/hyperlink" Target="https://api-djppr.kemenkeu.go.id/web/api/v1/media/11F38040-FA3A-439D-ABF6-7F3E71651506" TargetMode="External"/><Relationship Id="rId20" Type="http://schemas.openxmlformats.org/officeDocument/2006/relationships/hyperlink" Target="https://nasional.kontan.co.id/news/target-defisit-apbn-2026-dan-outlook-2025-di-atas-batas-aman-target-kinerja-kemenkeu" TargetMode="External"/><Relationship Id="rId22" Type="http://schemas.openxmlformats.org/officeDocument/2006/relationships/hyperlink" Target="https://www.researchgate.net/publication/353211489_Faktor-Faktor_yang_Mempengaruhi_Penerimaan_Pajak_Penghasilan_dalam_APBN" TargetMode="External"/><Relationship Id="rId21" Type="http://schemas.openxmlformats.org/officeDocument/2006/relationships/hyperlink" Target="https://media.kemenkeu.go.id/getmedia/0d55974c-45ad-48f4-8db3-3804b37d195e/Buku-II-Nota-Keuangan-RAPBN-TA-2026.pdf" TargetMode="External"/><Relationship Id="rId24" Type="http://schemas.openxmlformats.org/officeDocument/2006/relationships/hyperlink" Target="https://djpk.kemenkeu.go.id/wp-content/uploads/2020/12/apbn-kita-desember-2020.pdf" TargetMode="External"/><Relationship Id="rId23" Type="http://schemas.openxmlformats.org/officeDocument/2006/relationships/hyperlink" Target="https://ejournal.stiejb.ac.id/index.php/fintax/article/view/673/364" TargetMode="External"/><Relationship Id="rId60" Type="http://schemas.openxmlformats.org/officeDocument/2006/relationships/hyperlink" Target="https://www.youtube.com/watch?v=wg17wr_uUGE" TargetMode="External"/><Relationship Id="rId26" Type="http://schemas.openxmlformats.org/officeDocument/2006/relationships/hyperlink" Target="https://media.kemenkeu.go.id/getmedia/c4cc1854-96f4-42f4-95b8-94cf49a46f10/Informasi-APBN-Tahun-Anggaran-2025.pdf?ext=.pdf" TargetMode="External"/><Relationship Id="rId25" Type="http://schemas.openxmlformats.org/officeDocument/2006/relationships/hyperlink" Target="https://www.bi.go.id/id/publikasi/laporan/Documents/4_LPI2020_BAB2.pdf" TargetMode="External"/><Relationship Id="rId28" Type="http://schemas.openxmlformats.org/officeDocument/2006/relationships/hyperlink" Target="https://www.kemenkeu.go.id/informasi-publik/publikasi/siaran-pers/Siaran-Pers-Menkeu-Penerimaan-Perpajakan-Terus" TargetMode="External"/><Relationship Id="rId27" Type="http://schemas.openxmlformats.org/officeDocument/2006/relationships/hyperlink" Target="https://media.kemenkeu.go.id/getmedia/b7f00cc5-15ad-4d8d-9bb5-42e18e8494a8/Publikasi-Web-Konpers-APBN-Kita-(Januari-2026).pdf?ext=.pdf" TargetMode="External"/><Relationship Id="rId29" Type="http://schemas.openxmlformats.org/officeDocument/2006/relationships/hyperlink" Target="https://itrade.cgsi.co.id/menkeu-laporkan-pendapatan-negara-rp5749-triliun-per-kuartal-i-2026" TargetMode="External"/><Relationship Id="rId51" Type="http://schemas.openxmlformats.org/officeDocument/2006/relationships/hyperlink" Target="https://rudyct.com/ab/APBN.sebagai-Mesin.Eksekusi-Program.Prioritas.pdf" TargetMode="External"/><Relationship Id="rId50" Type="http://schemas.openxmlformats.org/officeDocument/2006/relationships/hyperlink" Target="https://djpk.kemenkeu.go.id/wp-content/uploads/2022/11/apbn-kita-februari-2022.pdf" TargetMode="External"/><Relationship Id="rId53" Type="http://schemas.openxmlformats.org/officeDocument/2006/relationships/hyperlink" Target="https://barisandata.co/ekonopedia/3603/belanja-pemerintah-pusat-menurut-jenisnya/" TargetMode="External"/><Relationship Id="rId52" Type="http://schemas.openxmlformats.org/officeDocument/2006/relationships/hyperlink" Target="https://ikpi.or.id/apbn-2026-fokus-ke-belanja-yang-sentuh-rakyat-dan-kurangi-tkd/" TargetMode="External"/><Relationship Id="rId11" Type="http://schemas.openxmlformats.org/officeDocument/2006/relationships/hyperlink" Target="https://asiatimes.com/2026/05/indonesias-debt-wall-hits-an-economy-running-on-borrowed-time/" TargetMode="External"/><Relationship Id="rId55" Type="http://schemas.openxmlformats.org/officeDocument/2006/relationships/hyperlink" Target="https://itrev.kemenkeu.go.id/index.php/ITRev/article/download/1251/291/14171" TargetMode="External"/><Relationship Id="rId10" Type="http://schemas.openxmlformats.org/officeDocument/2006/relationships/hyperlink" Target="https://www.kemenkeu.go.id/informasi-publik/publikasi/berita-utama/Pemerintah-Banggar-Sepakati-Postur-RAPBN-2026" TargetMode="External"/><Relationship Id="rId54" Type="http://schemas.openxmlformats.org/officeDocument/2006/relationships/hyperlink" Target="https://www.researchgate.net/publication/392116929_Crowding_Out_and_Multiplier_Effect_in_Indonesia" TargetMode="External"/><Relationship Id="rId13" Type="http://schemas.openxmlformats.org/officeDocument/2006/relationships/hyperlink" Target="https://www.kemenkeu.go.id/informasi-publik/publikasi/berita-utama/Ini-Postur-RAPBN-2026" TargetMode="External"/><Relationship Id="rId57" Type="http://schemas.openxmlformats.org/officeDocument/2006/relationships/hyperlink" Target="https://imcnews.id/read/2026/03/30/26705/lonjakan-harga-minyak-global-dinilai-dapat-bebankan-subsidi-energi-hingga-rp400-triliun/" TargetMode="External"/><Relationship Id="rId12" Type="http://schemas.openxmlformats.org/officeDocument/2006/relationships/hyperlink" Target="https://www.pajak.go.id/id/artikel/rp3948-triliun-dan-masa-depan-indonesia" TargetMode="External"/><Relationship Id="rId56" Type="http://schemas.openxmlformats.org/officeDocument/2006/relationships/hyperlink" Target="https://muc.co.id/id/article/pemerintah-rancang-apbn-2023-defisit-dipatok-285" TargetMode="External"/><Relationship Id="rId15" Type="http://schemas.openxmlformats.org/officeDocument/2006/relationships/hyperlink" Target="https://www.pajakonline.com/realisasi-apbn-2020-penerimaan-pajak-paling-terpukul/" TargetMode="External"/><Relationship Id="rId59" Type="http://schemas.openxmlformats.org/officeDocument/2006/relationships/hyperlink" Target="https://barisandata.co/analisis/3837/dialokasikan-sebagai-anggaran-pendidikan-namun-tidak-terealisasi/" TargetMode="External"/><Relationship Id="rId14" Type="http://schemas.openxmlformats.org/officeDocument/2006/relationships/hyperlink" Target="https://media.kemenkeu.go.id/getmedia/744d9a4e-c665-4de8-86e7-e0b40b13938d/Advetorial-RAPBN-2026.pdf" TargetMode="External"/><Relationship Id="rId58" Type="http://schemas.openxmlformats.org/officeDocument/2006/relationships/hyperlink" Target="https://api-djppr.kemenkeu.go.id/web/api/v1/media/920A87B3-66FC-4F4F-8AA1-591AB79715E7" TargetMode="External"/><Relationship Id="rId17" Type="http://schemas.openxmlformats.org/officeDocument/2006/relationships/hyperlink" Target="https://www.djkn.kemenkeu.go.id/artikel/baca/14840/Memanfaatkan-APBN-Secara-Optimal-Dimasa-Pandemi.html" TargetMode="External"/><Relationship Id="rId16" Type="http://schemas.openxmlformats.org/officeDocument/2006/relationships/hyperlink" Target="https://www.voaindonesia.com/a/jokowi-targetkan-defisit-apbn-2023-kembali-di-bawah-3-persen/6859360.html" TargetMode="External"/><Relationship Id="rId19" Type="http://schemas.openxmlformats.org/officeDocument/2006/relationships/hyperlink" Target="https://media.kemenkeu.go.id/getmedia/6439fa59-B28e-412d-adf5-e02fdd9e7f68/informasi-apbn-ta-2023.pdf" TargetMode="External"/><Relationship Id="rId18" Type="http://schemas.openxmlformats.org/officeDocument/2006/relationships/hyperlink" Target="https://www.komdigi.go.id/berita/berita-pemerintahan/detail/pemerintah-tentukan-defisit-apbn-2023-di-bawah-3-persen"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GoogleSans-regular.ttf"/><Relationship Id="rId2" Type="http://schemas.openxmlformats.org/officeDocument/2006/relationships/font" Target="fonts/GoogleSans-bold.ttf"/><Relationship Id="rId3" Type="http://schemas.openxmlformats.org/officeDocument/2006/relationships/font" Target="fonts/GoogleSans-italic.ttf"/><Relationship Id="rId4" Type="http://schemas.openxmlformats.org/officeDocument/2006/relationships/font" Target="fonts/GoogleSa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