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Laporan Riset Empiris: Analisis Struktural dan Proyeksi Fiskal Indonesia (2021–2031) Berbasis Optimalisasi Pendapatan, Efisiensi Anggaran, dan Dinamika Ekonomi Politik</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Pendahuluan dan Konteks Makroekonomi</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Anggaran Pendapatan dan Belanja Negara (APBN) merupakan instrumen rekayasa fiskal fundamental yang merefleksikan arah kebijakan, prioritas pembangunan, serta kapasitas esensial negara dalam mengelola perekonomian. Selama rentang lima tahun terakhir, yang mencakup periode krisis pandemi hingga transisi menuju rancangan fiskal tahun 2026, postur ekonomi makro Indonesia dihadapkan pada transformasi struktural sekaligus anomali kerentanan yang mendalam</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Data empiris mengindikasikan bahwa volume APBN terus mengalami eskalasi; pada kesepakatan postur RAPBN 2026, belanja negara ditetapkan sebesar Rp3.842,7 triliun dengan target pendapatan negara mencapai Rp3.153,6 triliun</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Eskalasi ini memicu defisit anggaran sebesar Rp689,1 triliun atau setara dengan 2,68% terhadap Produk Domestik Bruto (PDB), di mana pembiayaan utang menjadi tumpuan utama</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Di balik angka agregat tersebut, arsitektur fiskal Indonesia memendam paradoks struktural yang mengkhawatirkan. Laporan lembaga pemeringkat internasional dan analisis makroekonomi domestik menyoroti beban pembayaran bunga utang pemerintah yang diproyeksikan menyentuh angka historis sebesar Rp599,44 triliun pada tahun 2026</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Beban ini sangat masif karena menyita lebih dari 23% hingga 25,42% dari total penerimaan pajak nasional, menciptakan fenomena belanja paksa yang menggerus fleksibilitas fiskal negara</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 Kondisi ini semakin problematis ketika dihadapkan pada stagnasi rasio pajak (tax ratio) Indonesia yang bertengger di kisaran 10% hingga 11,8% dari PDB, menjadikannya salah satu yang terendah di kawasan Asia Pasifik dan jauh tertinggal dari rata-rata negara berkembang lainnya</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Dalam lanskap ekonomi politik, Indonesia menunjukkan anomali klasik negara berkembang. Sebagai entitas kedaulatan yang dianugerahi kekayaan alam melimpah, penerimaan negara seharusnya didominasi oleh ekstraksi hasil bumi, sesuai dengan amanat Undang-Undang Dasar 1945 Pasal 33 bahwa kekayaan alam dikuasai oleh negara untuk sebesar-besarnya kemakmuran rakyat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Namun, realitas empiris membuktikan sebaliknya. Tulang punggung penerimaan perpajakan justru tersandera pada Pajak Penghasilan (PPh) dan Pajak Pertambahan Nilai (PPN) yang membebani kelas menengah, pekerja formal, dan konsumen domestik</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Laporan riset ini disusun secara komprehensif untuk membedah anatomi kebocoran pajak dan Penerimaan Negara Bukan Pajak (PNBP), mengeksplorasi potensi pemajakan atas akumulasi kekayaan kelompok superkaya, serta menganalisis pemborosan anggaran yang didorong oleh siklus politik elektoral dan inefisiensi badan usaha negara. Selanjutnya, laporan ini mengkonstruksi proyeksi makroekonomi untuk rentang lima tahun ke depan (2026–2031) menggunakan skenario reformasi versus status quo, sekaligus menjawab akar masalah mengenai disparitas antara tingginya beban pajak kelas menengah dan absennya peningkatan kualitas pelayanan publik.</w:t>
      </w:r>
    </w:p>
    <w:p w:rsidR="00000000" w:rsidDel="00000000" w:rsidP="00000000" w:rsidRDefault="00000000" w:rsidRPr="00000000" w14:paraId="00000007">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Anatomi Kebocoran dan Potensi Optimalisasi Penerimaan Sektor Sumber Daya Alam</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Kapasitas sebuah negara untuk membiayai pembangunan dan menyejahterakan rakyatnya sangat bergantung pada efisiensi ekstraksi pendapatan. Di Indonesia, sektor ekstraktif seperti pertambangan mineral, batu bara (minerba), dan perkebunan kelapa sawit merupakan penyumbang utama devisa. Kendati demikian, tingkat kepatuhan fiskal dan pengawasan pada sektor-sektor strategis ini menunjukkan defisiensi yang memfasilitasi pelarian modal (capital flight) berskala raksasa.</w:t>
      </w:r>
    </w:p>
    <w:p w:rsidR="00000000" w:rsidDel="00000000" w:rsidP="00000000" w:rsidRDefault="00000000" w:rsidRPr="00000000" w14:paraId="0000000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Defisiensi Administrasi dan Manipulasi Transfer Pricing Sektor Ekstraktif</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Kajian terstruktur yang dilakukan oleh Komisi Pemberantasan Korupsi (KPK) mengungkap bahwa tata kelola perizinan dan perpajakan di sektor SDA sangat rapuh. Dari 7.519 Izin Usaha Pertambangan (IUP) yang tercatat di Direktorat Jenderal Pajak (DJP), sekitar 84% di antaranya teridentifikasi tidak memiliki Nomor Pokok Wajib Pajak (NPWP)</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 Ketiadaan identitas fiskal ini secara otomatis mengeliminasi jejak kewajiban Pajak Penghasilan (PPh) Badan, Pajak Bumi dan Bangunan (PBB) sektor P5L (Perkebunan, Perhutanan, Pertambangan), serta kewajiban pembayaran royalti. KPK juga mencatat adanya kekurangan pembayaran pajak tambang di kawasan hutan yang mencapai Rp15,9 triliun per tahun, serta akumulasi tunggakan PNBP di sektor minerba yang pernah menyentuh Rp25,5 triliun</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Lebih jauh, praktik manipulasi nilai pabean (misinvoicing) berupa under-invoicing dan transfer pricing menjadi modus operandi utama oligarki dan korporasi multinasional. Investigasi berbasis kecerdasan buatan (AI) yang diinisiasi oleh Kementerian Keuangan menemukan bukti empiris mengenai praktik ini pada ekspor crude palm oil (CPO) dan batu bara</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Analisis data ekspor-impor (ship-by-ship) menunjukkan bahwa eksportir besar mengirimkan barang secara fisik langsung ke negara tujuan (seperti Amerika Serikat atau India), namun dokumen transaksinya dialihkan (di-reinvoice) melalui perusahaan afiliasi atau perusahaan cangkang (shell companies) di Singapura</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Harga yang dilaporkan saat keluar dari Indonesia direkayasa serendah mungkin untuk menghindari pajak ekspor dan mengecilkan laba domestik (menekan PPh Badan), sementara entitas di Singapura menjualnya ke pembeli akhir dengan harga yang bisa mencapai dua kali lipat lebih tinggi</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Skala dari praktik under-invoicing ini sangat masif. Berdasarkan pengolahan data UN Comtrade, nilai export under-invoicing Indonesia secara kumulatif selama periode 1991 hingga 2024 diestimasikan mencapai US$908 miliar, atau setara dengan Rp16.144 triliun</w:t>
      </w:r>
      <w:r w:rsidDel="00000000" w:rsidR="00000000" w:rsidRPr="00000000">
        <w:rPr>
          <w:rFonts w:ascii="Google Sans" w:cs="Google Sans" w:eastAsia="Google Sans" w:hAnsi="Google Sans"/>
          <w:color w:val="444746"/>
          <w:sz w:val="24"/>
          <w:szCs w:val="24"/>
          <w:vertAlign w:val="superscript"/>
          <w:rtl w:val="0"/>
        </w:rPr>
        <w:t xml:space="preserve">15</w:t>
      </w:r>
      <w:r w:rsidDel="00000000" w:rsidR="00000000" w:rsidRPr="00000000">
        <w:rPr>
          <w:rFonts w:ascii="Google Sans" w:cs="Google Sans" w:eastAsia="Google Sans" w:hAnsi="Google Sans"/>
          <w:color w:val="1f1f1f"/>
          <w:rtl w:val="0"/>
        </w:rPr>
        <w:t xml:space="preserve">. Pada sektor kelapa sawit, Direktorat Jenderal Pajak baru-baru ini memeriksa 282 wajib pajak eksportir, di mana 25 di antaranya terindikasi memanipulasi CPO menjadi fatty matter untuk merendahkan nilai transaksi, dengan potensi kerugian negara mencapai Rp140 miliar dari transaksi senilai Rp2,08 triliun</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Di samping itu, 257 eksportir lainnya memiliki nilai pemberitahuan ekspor mencurigakan hingga Rp45,9 triliun pada periode 2021–2024</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Jika praktik "kencing di laut" dan manipulasi dokumen ini ditindak tegas secara terpadu oleh instansi kepabeanan dan perpajakan, Indonesia memiliki potensi pemulihan penerimaan negara hingga ratusan triliun rupiah per tahun.</w:t>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Potensi Penyelamatan dari Kebocoran Kepabeanan dan Cukai</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Sektor cukai, khususnya Cukai Hasil Tembakau (CHT), juga mengalami pendarahan yang signifikan akibat peredaran barang ilegal. Kementerian Keuangan menghitung bahwa peredaran rokok ilegal yang tidak dilekati pita cukai—atau menggunakan pita cukai palsu—telah menghilangkan potensi penerimaan negara sekitar 30% dari total target cukai</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Nilai kebocoran ini diestimasikan mencapai Rp60 triliun setiap tahunnya</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Sepanjang pengawasan, Direktorat Jenderal Bea dan Cukai (DJBC) berulang kali menggagalkan sindikat distribusi rokok ilegal; sebagai contoh, penindakan di Jakarta yang berhasil mengamankan 8,9 juta batang rokok tanpa pita cukai, yang menyelamatkan potensi kerugian negara hingga Rp8,66 miliar dari satu kali operasi pengiriman</w:t>
      </w:r>
      <w:r w:rsidDel="00000000" w:rsidR="00000000" w:rsidRPr="00000000">
        <w:rPr>
          <w:rFonts w:ascii="Google Sans" w:cs="Google Sans" w:eastAsia="Google Sans" w:hAnsi="Google Sans"/>
          <w:color w:val="444746"/>
          <w:sz w:val="24"/>
          <w:szCs w:val="24"/>
          <w:vertAlign w:val="superscript"/>
          <w:rtl w:val="0"/>
        </w:rPr>
        <w:t xml:space="preserve">18</w:t>
      </w:r>
      <w:r w:rsidDel="00000000" w:rsidR="00000000" w:rsidRPr="00000000">
        <w:rPr>
          <w:rFonts w:ascii="Google Sans" w:cs="Google Sans" w:eastAsia="Google Sans" w:hAnsi="Google Sans"/>
          <w:color w:val="1f1f1f"/>
          <w:rtl w:val="0"/>
        </w:rPr>
        <w:t xml:space="preserve">. Skala masif dari penghindaran cukai ini tidak hanya mendistorsi persaingan usaha, tetapi juga merampas hak publik. Pengamanan dana Rp60 triliun per tahun dari penindakan cukai secara teoritis sudah memadai untuk menutupi seluruh kebutuhan infrastruktur fasilitas kesehatan tingkat pertama di seluruh pelosok tanah air tanpa perlu menarik instrumen utang tambahan.</w:t>
      </w:r>
    </w:p>
    <w:p w:rsidR="00000000" w:rsidDel="00000000" w:rsidP="00000000" w:rsidRDefault="00000000" w:rsidRPr="00000000" w14:paraId="0000001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Asimetri Belanja Perpajakan (Tax Expenditure)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Anomali penerimaan negara tidak hanya diakibatkan oleh penghindaran ilegal, melainkan juga difasilitasi oleh regulasi negara melalui instrumen Belanja Perpajakan (tax expenditure). Belanja perpajakan merupakan penerimaan pajak yang tidak dikumpulkan atau direlakan oleh pemerintah akibat adanya pengecualian, pengurangan tarif, atau fasilitas insentif seperti tax holiday dan tax allowance</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Laporan Belanja Perpajakan mencatat bahwa nilai fasilitas ini terus melonjak dari tahun ke tahun. Pada 2024, nilai belanja perpajakan mencapai Rp400,1 triliun (setara 1,81% dari PDB), dan diproyeksikan membengkak menjadi Rp515 triliun pada tahun 2025, serta diestimasikan menembus Rp607,7 triliun pada 2027</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Meskipun sebagian dialokasikan untuk pembebasan PPN atas barang kebutuhan pokok bagi masyarakat, porsi yang sangat masif mengalir ke entitas korporasi berskala raksasa. Pada 2024, belanja Pajak Penghasilan (PPh) menelan Rp140,7 triliun, di mana 23,7% dari jumlah tersebut bersumber dari pembebasan PPh atas dividen bagi Wajib Pajak Dalam Negeri</w:t>
      </w:r>
      <w:r w:rsidDel="00000000" w:rsidR="00000000" w:rsidRPr="00000000">
        <w:rPr>
          <w:rFonts w:ascii="Google Sans" w:cs="Google Sans" w:eastAsia="Google Sans" w:hAnsi="Google Sans"/>
          <w:color w:val="444746"/>
          <w:sz w:val="24"/>
          <w:szCs w:val="24"/>
          <w:vertAlign w:val="superscript"/>
          <w:rtl w:val="0"/>
        </w:rPr>
        <w:t xml:space="preserve">25</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Di sektor ekstraktif, smelter nikel dan industri hilirisasi terus menikmati pembebasan pajak (tax holiday) yang agresif selama puluhan tahun, padahal korporasi tersebut telah meraup profitabilitas tinggi</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Pemberian fasilitas yang terlampau longgar ini dinilai mengorbankan basis penerimaan yang riil. Center of Economic and Law Studies (CELIOS) mengestimasikan bahwa total kebocoran pajak di Indonesia—yang mencakup penghindaran pajak ilegal dan insentif perpajakan yang asimetris—diperkirakan mencapai Rp195,67 triliun per kuartal, atau sekitar Rp782,68 triliun per tahun</w:t>
      </w:r>
      <w:r w:rsidDel="00000000" w:rsidR="00000000" w:rsidRPr="00000000">
        <w:rPr>
          <w:rFonts w:ascii="Google Sans" w:cs="Google Sans" w:eastAsia="Google Sans" w:hAnsi="Google Sans"/>
          <w:color w:val="444746"/>
          <w:sz w:val="24"/>
          <w:szCs w:val="24"/>
          <w:vertAlign w:val="superscript"/>
          <w:rtl w:val="0"/>
        </w:rPr>
        <w:t xml:space="preserve">9</w:t>
      </w:r>
      <w:r w:rsidDel="00000000" w:rsidR="00000000" w:rsidRPr="00000000">
        <w:rPr>
          <w:rFonts w:ascii="Google Sans" w:cs="Google Sans" w:eastAsia="Google Sans" w:hAnsi="Google Sans"/>
          <w:color w:val="1f1f1f"/>
          <w:rtl w:val="0"/>
        </w:rPr>
        <w:t xml:space="preserve">. Rasionalisasi belanja perpajakan dengan menerapkan evaluasi ketat terhadap Return on Investment (ROI) bagi industri penerima insentif akan mengembalikan ruang fiskal yang selama ini tersandera oleh kebijakan pro-oligarki.</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1"/>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Komponen Kebocoran / Insentif Fiskal</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Estimasi Nilai (Nominal Tahunan / Kumulatif)</w:t>
            </w:r>
          </w:p>
        </w:tc>
        <w:tc>
          <w:tcPr>
            <w:tcBorders>
              <w:top w:color="c4c7c5" w:space="0" w:sz="6" w:val="single"/>
              <w:left w:color="c4c7c5" w:space="0" w:sz="6" w:val="single"/>
              <w:bottom w:color="c4c7c5" w:space="0" w:sz="6" w:val="single"/>
              <w:right w:color="c4c7c5" w:space="0" w:sz="6" w:val="single"/>
            </w:tcBorders>
            <w:shd w:fill="efefef"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Keterangan</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Export Under-Invoicing (SDA)</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~Rp16.144 Triliun (US$908 Miliar)</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Kumulatif historis 1991–2024 (Data UN Comtrade)</w:t>
            </w:r>
            <w:r w:rsidDel="00000000" w:rsidR="00000000" w:rsidRPr="00000000">
              <w:rPr>
                <w:rFonts w:ascii="Google Sans" w:cs="Google Sans" w:eastAsia="Google Sans" w:hAnsi="Google Sans"/>
                <w:color w:val="444746"/>
                <w:sz w:val="24"/>
                <w:szCs w:val="24"/>
                <w:vertAlign w:val="superscript"/>
                <w:rtl w:val="0"/>
              </w:rPr>
              <w:t xml:space="preserve">15</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Kebocoran Pajak Agregat (Evasion &amp; Insentif)</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~Rp782,68 Triliun per tahun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Proyeksi kuartalan Rp195,67 Triliun (CELIOS)</w:t>
            </w:r>
            <w:r w:rsidDel="00000000" w:rsidR="00000000" w:rsidRPr="00000000">
              <w:rPr>
                <w:rFonts w:ascii="Google Sans" w:cs="Google Sans" w:eastAsia="Google Sans" w:hAnsi="Google Sans"/>
                <w:color w:val="444746"/>
                <w:sz w:val="24"/>
                <w:szCs w:val="24"/>
                <w:vertAlign w:val="superscript"/>
                <w:rtl w:val="0"/>
              </w:rPr>
              <w:t xml:space="preserve">9</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Belanja Perpajakan (Tax Expenditure)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Rp400,1 Triliun (2024) → Rp515 Triliun (2025)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Fasilitas resmi negara (Insentif, Pengecualian)</w:t>
            </w:r>
            <w:r w:rsidDel="00000000" w:rsidR="00000000" w:rsidRPr="00000000">
              <w:rPr>
                <w:rFonts w:ascii="Google Sans" w:cs="Google Sans" w:eastAsia="Google Sans" w:hAnsi="Google Sans"/>
                <w:color w:val="444746"/>
                <w:sz w:val="24"/>
                <w:szCs w:val="24"/>
                <w:vertAlign w:val="superscript"/>
                <w:rtl w:val="0"/>
              </w:rPr>
              <w:t xml:space="preserve">20</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Kebocoran Cukai Rokok Ilegal</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~Rp60 Triliun per tahun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Estimasi 30% dari total target penerimaan cukai</w:t>
            </w:r>
            <w:r w:rsidDel="00000000" w:rsidR="00000000" w:rsidRPr="00000000">
              <w:rPr>
                <w:rFonts w:ascii="Google Sans" w:cs="Google Sans" w:eastAsia="Google Sans" w:hAnsi="Google Sans"/>
                <w:color w:val="444746"/>
                <w:sz w:val="24"/>
                <w:szCs w:val="24"/>
                <w:vertAlign w:val="superscript"/>
                <w:rtl w:val="0"/>
              </w:rPr>
              <w:t xml:space="preserve">17</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Kerugian Korupsi Pengadaan (ICW)</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~Rp279,9 Triliun (2024)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Potensi kerugian negara dari tindak pidana korupsi</w:t>
            </w:r>
            <w:r w:rsidDel="00000000" w:rsidR="00000000" w:rsidRPr="00000000">
              <w:rPr>
                <w:rFonts w:ascii="Google Sans" w:cs="Google Sans" w:eastAsia="Google Sans" w:hAnsi="Google Sans"/>
                <w:color w:val="444746"/>
                <w:sz w:val="24"/>
                <w:szCs w:val="24"/>
                <w:vertAlign w:val="superscript"/>
                <w:rtl w:val="0"/>
              </w:rPr>
              <w:t xml:space="preserve">27</w:t>
            </w:r>
          </w:p>
        </w:tc>
      </w:tr>
    </w:tbl>
    <w:p w:rsidR="00000000" w:rsidDel="00000000" w:rsidP="00000000" w:rsidRDefault="00000000" w:rsidRPr="00000000" w14:paraId="00000027">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Potensi Pemajakan Kekayaan Kelompok Superkaya (Wealth Tax)</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Ketimpangan struktural di Indonesia membuka ruang bagi intervensi fiskal progresif melalui pengenaan pajak kekayaan (wealth tax). Data distribusi ekonomi menunjukkan bahwa 1% individu terkaya menguasai sekitar 36% dari total perekonomian nasional</w:t>
      </w:r>
      <w:r w:rsidDel="00000000" w:rsidR="00000000" w:rsidRPr="00000000">
        <w:rPr>
          <w:rFonts w:ascii="Google Sans" w:cs="Google Sans" w:eastAsia="Google Sans" w:hAnsi="Google Sans"/>
          <w:color w:val="444746"/>
          <w:sz w:val="24"/>
          <w:szCs w:val="24"/>
          <w:vertAlign w:val="superscript"/>
          <w:rtl w:val="0"/>
        </w:rPr>
        <w:t xml:space="preserve">29</w:t>
      </w:r>
      <w:r w:rsidDel="00000000" w:rsidR="00000000" w:rsidRPr="00000000">
        <w:rPr>
          <w:rFonts w:ascii="Google Sans" w:cs="Google Sans" w:eastAsia="Google Sans" w:hAnsi="Google Sans"/>
          <w:color w:val="1f1f1f"/>
          <w:rtl w:val="0"/>
        </w:rPr>
        <w:t xml:space="preserve">. Akumulasi kekayaan 50 orang terkaya di Indonesia melonjak tajam dari Rp2.508 triliun pada tahun 2019 menjadi Rp4.651 triliun pada 2024, yang secara agregat setara dengan seperlima PDB Indonesia</w:t>
      </w:r>
      <w:r w:rsidDel="00000000" w:rsidR="00000000" w:rsidRPr="00000000">
        <w:rPr>
          <w:rFonts w:ascii="Google Sans" w:cs="Google Sans" w:eastAsia="Google Sans" w:hAnsi="Google Sans"/>
          <w:color w:val="444746"/>
          <w:sz w:val="24"/>
          <w:szCs w:val="24"/>
          <w:vertAlign w:val="superscript"/>
          <w:rtl w:val="0"/>
        </w:rPr>
        <w:t xml:space="preserve">30</w:t>
      </w:r>
      <w:r w:rsidDel="00000000" w:rsidR="00000000" w:rsidRPr="00000000">
        <w:rPr>
          <w:rFonts w:ascii="Google Sans" w:cs="Google Sans" w:eastAsia="Google Sans" w:hAnsi="Google Sans"/>
          <w:color w:val="1f1f1f"/>
          <w:rtl w:val="0"/>
        </w:rPr>
        <w:t xml:space="preserve">. Median kekayaan kelompok elite ini mencapai Rp52,3 miliar, berbanding terbalik secara ekstrem dengan median kekayaan penduduk umum yang hanya berada di level Rp84,35 juta</w:t>
      </w:r>
      <w:r w:rsidDel="00000000" w:rsidR="00000000" w:rsidRPr="00000000">
        <w:rPr>
          <w:rFonts w:ascii="Google Sans" w:cs="Google Sans" w:eastAsia="Google Sans" w:hAnsi="Google Sans"/>
          <w:color w:val="444746"/>
          <w:sz w:val="24"/>
          <w:szCs w:val="24"/>
          <w:vertAlign w:val="superscript"/>
          <w:rtl w:val="0"/>
        </w:rPr>
        <w:t xml:space="preserve">30</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Kesenjangan ini dijelaskan secara teoretis oleh Thomas Piketty, yang merumuskan bahwa ketika tingkat pengembalian modal atau return on capital (r) lebih besar daripada tingkat pertumbuhan ekonomi agregat (g), maka kekayaan akan terkonsentrasi di puncak piramida</w:t>
      </w:r>
      <w:r w:rsidDel="00000000" w:rsidR="00000000" w:rsidRPr="00000000">
        <w:rPr>
          <w:rFonts w:ascii="Google Sans" w:cs="Google Sans" w:eastAsia="Google Sans" w:hAnsi="Google Sans"/>
          <w:color w:val="444746"/>
          <w:sz w:val="24"/>
          <w:szCs w:val="24"/>
          <w:vertAlign w:val="superscript"/>
          <w:rtl w:val="0"/>
        </w:rPr>
        <w:t xml:space="preserve">31</w:t>
      </w:r>
      <w:r w:rsidDel="00000000" w:rsidR="00000000" w:rsidRPr="00000000">
        <w:rPr>
          <w:rFonts w:ascii="Google Sans" w:cs="Google Sans" w:eastAsia="Google Sans" w:hAnsi="Google Sans"/>
          <w:color w:val="1f1f1f"/>
          <w:rtl w:val="0"/>
        </w:rPr>
        <w:t xml:space="preserve">. Wajib pajak superkaya atau High Net Worth Individuals (HNWI) memiliki struktur penghasilan yang berbeda dari kelas pekerja. Mayoritas pendapatan mereka bersumber dari passive income (seperti capital gain, dividen, bunga, dan sewa properti), di mana struktur tarif efektifnya kerap lebih rendah dibandingkan tarif PPh 21 progresif bagi pekerja formal yang bisa mencapai 35%</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Proyeksi Penerimaan Negara dari Pajak Kekayaan</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Implementasi wealth tax bukan sekadar wacana redistributif, melainkan instrumen fiskal yang sangat terukur. Simulasi dari The PRAKARSA menunjukkan bahwa pengenaan pajak kekayaan pada HNWI dengan net worth di atas Rp144 miliar berpotensi menyuntikkan penerimaan negara antara Rp54 triliun hingga Rp155 triliun untuk sekali pengenaan (setara 0,46% dari PDB)</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 Lebih spesifik, kajian CELIOS merumuskan bahwa penerapan wealth tax sebesar 2% atas kekayaan 50 triliuner teratas di Indonesia (yang memiliki rata-rata kekayaan Rp159 triliun) dapat menghasilkan penerimaan rutin sebesar Rp81,56 triliun hingga Rp93 triliun per tahun</w:t>
      </w:r>
      <w:r w:rsidDel="00000000" w:rsidR="00000000" w:rsidRPr="00000000">
        <w:rPr>
          <w:rFonts w:ascii="Google Sans" w:cs="Google Sans" w:eastAsia="Google Sans" w:hAnsi="Google Sans"/>
          <w:color w:val="444746"/>
          <w:sz w:val="24"/>
          <w:szCs w:val="24"/>
          <w:vertAlign w:val="superscript"/>
          <w:rtl w:val="0"/>
        </w:rPr>
        <w:t xml:space="preserve">30</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Tantangan utama dari kebijakan ini adalah kemampuan mobilitas kapital kelompok elit yang memanfaatkan yurisdiksi suaka pajak (tax havens) dan perusahaan cangkang (shell companies) untuk menyembunyikan aset offshore</w:t>
      </w:r>
      <w:r w:rsidDel="00000000" w:rsidR="00000000" w:rsidRPr="00000000">
        <w:rPr>
          <w:rFonts w:ascii="Google Sans" w:cs="Google Sans" w:eastAsia="Google Sans" w:hAnsi="Google Sans"/>
          <w:color w:val="444746"/>
          <w:sz w:val="24"/>
          <w:szCs w:val="24"/>
          <w:vertAlign w:val="superscript"/>
          <w:rtl w:val="0"/>
        </w:rPr>
        <w:t xml:space="preserve">30</w:t>
      </w:r>
      <w:r w:rsidDel="00000000" w:rsidR="00000000" w:rsidRPr="00000000">
        <w:rPr>
          <w:rFonts w:ascii="Google Sans" w:cs="Google Sans" w:eastAsia="Google Sans" w:hAnsi="Google Sans"/>
          <w:color w:val="1f1f1f"/>
          <w:rtl w:val="0"/>
        </w:rPr>
        <w:t xml:space="preserve">. Namun, tantangan ini dapat dimitigasi melalui pemanfaatan data Automatic Exchange of Information (AEoI) yang mensyaratkan transparansi perbankan lintas negara</w:t>
      </w:r>
      <w:r w:rsidDel="00000000" w:rsidR="00000000" w:rsidRPr="00000000">
        <w:rPr>
          <w:rFonts w:ascii="Google Sans" w:cs="Google Sans" w:eastAsia="Google Sans" w:hAnsi="Google Sans"/>
          <w:color w:val="444746"/>
          <w:sz w:val="24"/>
          <w:szCs w:val="24"/>
          <w:vertAlign w:val="superscript"/>
          <w:rtl w:val="0"/>
        </w:rPr>
        <w:t xml:space="preserve">36</w:t>
      </w:r>
      <w:r w:rsidDel="00000000" w:rsidR="00000000" w:rsidRPr="00000000">
        <w:rPr>
          <w:rFonts w:ascii="Google Sans" w:cs="Google Sans" w:eastAsia="Google Sans" w:hAnsi="Google Sans"/>
          <w:color w:val="1f1f1f"/>
          <w:rtl w:val="0"/>
        </w:rPr>
        <w:t xml:space="preserve">. Jika otoritas pajak memanfaatkan algoritma investigasi pada infrastruktur Coretax yang mengintegrasikan data AEoI, program tax amnesty masa lalu, dan transaksi aset global, pemungutan pajak terhadap oligarki dan politisi berharta fantastis dapat dieksekusi secara presisi</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D">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Inefisiensi Belanja: Korupsi dan Siklus Anggaran Politis (Political Budget Cycle)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Selain memaksimalkan pengumpulan pendapatan, APBN dapat disehatkan melalui penghematan ekstrem dari kebocoran belanja. Pemborosan tertinggi bersumber dari tindak pidana korupsi yang menyusup pada proses pengadaan barang dan jasa serta infrastruktur publik. Laporan Indonesia Corruption Watch (ICW) mencatat estimasi kerugian negara akibat korupsi menembus angka Rp279,9 triliun pada tahun 2024, yang merupakan rekor tertinggi dalam lima tahun terakhir</w:t>
      </w:r>
      <w:r w:rsidDel="00000000" w:rsidR="00000000" w:rsidRPr="00000000">
        <w:rPr>
          <w:rFonts w:ascii="Google Sans" w:cs="Google Sans" w:eastAsia="Google Sans" w:hAnsi="Google Sans"/>
          <w:color w:val="444746"/>
          <w:sz w:val="24"/>
          <w:szCs w:val="24"/>
          <w:vertAlign w:val="superscript"/>
          <w:rtl w:val="0"/>
        </w:rPr>
        <w:t xml:space="preserve">27</w:t>
      </w:r>
      <w:r w:rsidDel="00000000" w:rsidR="00000000" w:rsidRPr="00000000">
        <w:rPr>
          <w:rFonts w:ascii="Google Sans" w:cs="Google Sans" w:eastAsia="Google Sans" w:hAnsi="Google Sans"/>
          <w:color w:val="1f1f1f"/>
          <w:rtl w:val="0"/>
        </w:rPr>
        <w:t xml:space="preserve">. Ironisnya, pemulihan aset (asset recovery) oleh aparat penegak hukum berjalan sangat lamban; KPK secara kumulatif hanya berhasil mengembalikan kerugian negara senilai Rp2,5 triliun selama periode 2020-2024</w:t>
      </w:r>
      <w:r w:rsidDel="00000000" w:rsidR="00000000" w:rsidRPr="00000000">
        <w:rPr>
          <w:rFonts w:ascii="Google Sans" w:cs="Google Sans" w:eastAsia="Google Sans" w:hAnsi="Google Sans"/>
          <w:color w:val="444746"/>
          <w:sz w:val="24"/>
          <w:szCs w:val="24"/>
          <w:vertAlign w:val="superscript"/>
          <w:rtl w:val="0"/>
        </w:rPr>
        <w:t xml:space="preserve">40</w:t>
      </w:r>
      <w:r w:rsidDel="00000000" w:rsidR="00000000" w:rsidRPr="00000000">
        <w:rPr>
          <w:rFonts w:ascii="Google Sans" w:cs="Google Sans" w:eastAsia="Google Sans" w:hAnsi="Google Sans"/>
          <w:color w:val="1f1f1f"/>
          <w:rtl w:val="0"/>
        </w:rPr>
        <w:t xml:space="preserve">. Jika pengawasan preventif (BPKP dan inspektorat kementerian) mampu menekan 50% dari potensi korupsi ini, pemerintah dapat menghemat hampir Rp140 triliun per tahun, yang cukup untuk mendanai seluruh kebutuhan transfer infrastruktur daerah secara organik.</w:t>
      </w:r>
    </w:p>
    <w:p w:rsidR="00000000" w:rsidDel="00000000" w:rsidP="00000000" w:rsidRDefault="00000000" w:rsidRPr="00000000" w14:paraId="0000002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Distorsi Anggaran Akibat Siklus Politik</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Kebocoran belanja sistemik tidak hanya terjadi karena korupsi, melainkan juga melalui kebijakan "pemborosan legal" yang didorong oleh motif elektoral, dikenal sebagai Siklus Anggaran Politis (Political Budget Cycle/PBC). Studi empiris ekstensif di Indonesia (Sjahrir dkk., 2013, 2014) mengonfirmasi bahwa pasca-pemberlakuan pemilihan kepala daerah secara langsung, kandidat petahana (incumbent) secara masif memanipulasi APBD dan APBN untuk mempertahankan kekuasaan</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Polanya terukur secara statistik: satu hingga dua tahun sebelum pemilihan umum, alokasi belanja untuk program populis yang memiliki visibilitas tinggi bagi pemilih—seperti Bantuan Sosial (Bansos), dana hibah, bantuan keuangan daerah, serta proyek jalan/infrastruktur mikro—mengalami lonjakan yang eksponensial</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Peningkatan belanja ini menyebabkan penurunan surplus anggaran daerah, pembengkakan defisit jangka pendek, dan penarikan utang yang tidak wajar</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Parahnya, ekspansi belanja ini bersifat substitusi negatif; demi mendanai hibah populis, belanja modal untuk investasi infrastruktur strategis jangka panjang (seperti sekolah dan fasilitas kesehatan struktural) justru dikorbankan atau dipangkas</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Fenomena PBC membuktikan bahwa fluktuasi belanja rutin di Indonesia sering kali tidak didasarkan pada kebutuhan teknokratis, melainkan sekadar instrumen patronase dan vote-buying</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Depolitisasi belanja melalui perencanaan anggaran multijenjang yang diawasi ketat sangat diperlukan untuk menyelamatkan puluhan triliun rupiah dari program populis yang menguap pasca-pemilu.</w:t>
      </w:r>
    </w:p>
    <w:p w:rsidR="00000000" w:rsidDel="00000000" w:rsidP="00000000" w:rsidRDefault="00000000" w:rsidRPr="00000000" w14:paraId="0000003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Penyelamatan dari BUMN Merugi dan Transformasi Danantara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Sektor Badan Usaha Milik Negara (BUMN) yang secara teoritis didesain untuk menjadi agen penciptaan nilai (value creator) dan menyumbang dividen bagi negara, justru kerap menjadi beban kronis bagi APBN. Secara historis, pemerintah harus mengeluarkan dana puluhan triliun rupiah melalui Penyertaan Modal Negara (PMN) untuk menyelamatkan BUMN yang terancam gagal bayar. Sebagai catatan, persetujuan PMN mencapai Rp44,24 triliun pada 2016, Rp38,5 triliun pada 2022, dan terus berlanjut ke belasan BUMN pada tahun-tahun berikutnya</w:t>
      </w:r>
      <w:r w:rsidDel="00000000" w:rsidR="00000000" w:rsidRPr="00000000">
        <w:rPr>
          <w:rFonts w:ascii="Google Sans" w:cs="Google Sans" w:eastAsia="Google Sans" w:hAnsi="Google Sans"/>
          <w:color w:val="444746"/>
          <w:sz w:val="24"/>
          <w:szCs w:val="24"/>
          <w:vertAlign w:val="superscript"/>
          <w:rtl w:val="0"/>
        </w:rPr>
        <w:t xml:space="preserve">45</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Suntikan dana publik ini menjadi polemik karena kerap dialokasikan pada entitas yang terbukti memiliki cacat tata kelola dan tersangkut skandal fraud. PT Waskita Karya (Persero) Tbk, misalnya, terus mengalami pendarahan finansial dengan mencatatkan pembengkakan rugi bersih mencapai Rp3,92 triliun pada 2025, yang menyeret defisit saldo laba hingga Rp20,22 triliun dan melongsorkan ekuitas perusahaan hingga 53,4%</w:t>
      </w:r>
      <w:r w:rsidDel="00000000" w:rsidR="00000000" w:rsidRPr="00000000">
        <w:rPr>
          <w:rFonts w:ascii="Google Sans" w:cs="Google Sans" w:eastAsia="Google Sans" w:hAnsi="Google Sans"/>
          <w:color w:val="444746"/>
          <w:sz w:val="24"/>
          <w:szCs w:val="24"/>
          <w:vertAlign w:val="superscript"/>
          <w:rtl w:val="0"/>
        </w:rPr>
        <w:t xml:space="preserve">48</w:t>
      </w:r>
      <w:r w:rsidDel="00000000" w:rsidR="00000000" w:rsidRPr="00000000">
        <w:rPr>
          <w:rFonts w:ascii="Google Sans" w:cs="Google Sans" w:eastAsia="Google Sans" w:hAnsi="Google Sans"/>
          <w:color w:val="1f1f1f"/>
          <w:rtl w:val="0"/>
        </w:rPr>
        <w:t xml:space="preserve">. Di sektor kesehatan, Badan Pemeriksa Keuangan (BPK) merilis Laporan Hasil Pemeriksaan (LHP) Investigatif terhadap PT Indofarma Tbk yang mengungkap adanya rekayasa transaksi, penjualan tanpa studi kelayakan, dan jeratan pinjaman online, yang mengakibatkan indikasi kerugian negara berkisar antara Rp146,57 miliar hingga Rp371,8 miliar</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Memasuki tahun 2025–2026, pemerintah melakukan perombakan fundamental melalui pendirian superholding Sovereign Wealth Fund bernama Badan Pengelola Investasi Daya Anagata Nusantara (BPI Danantara)</w:t>
      </w:r>
      <w:r w:rsidDel="00000000" w:rsidR="00000000" w:rsidRPr="00000000">
        <w:rPr>
          <w:rFonts w:ascii="Google Sans" w:cs="Google Sans" w:eastAsia="Google Sans" w:hAnsi="Google Sans"/>
          <w:color w:val="444746"/>
          <w:sz w:val="24"/>
          <w:szCs w:val="24"/>
          <w:vertAlign w:val="superscript"/>
          <w:rtl w:val="0"/>
        </w:rPr>
        <w:t xml:space="preserve">53</w:t>
      </w:r>
      <w:r w:rsidDel="00000000" w:rsidR="00000000" w:rsidRPr="00000000">
        <w:rPr>
          <w:rFonts w:ascii="Google Sans" w:cs="Google Sans" w:eastAsia="Google Sans" w:hAnsi="Google Sans"/>
          <w:color w:val="1f1f1f"/>
          <w:rtl w:val="0"/>
        </w:rPr>
        <w:t xml:space="preserve">. Berdasarkan regulasi terbaru, Danantara mengambil alih wewenang pengelolaan aset dan dividen dari BUMN</w:t>
      </w:r>
      <w:r w:rsidDel="00000000" w:rsidR="00000000" w:rsidRPr="00000000">
        <w:rPr>
          <w:rFonts w:ascii="Google Sans" w:cs="Google Sans" w:eastAsia="Google Sans" w:hAnsi="Google Sans"/>
          <w:color w:val="444746"/>
          <w:sz w:val="24"/>
          <w:szCs w:val="24"/>
          <w:vertAlign w:val="superscript"/>
          <w:rtl w:val="0"/>
        </w:rPr>
        <w:t xml:space="preserve">54</w:t>
      </w:r>
      <w:r w:rsidDel="00000000" w:rsidR="00000000" w:rsidRPr="00000000">
        <w:rPr>
          <w:rFonts w:ascii="Google Sans" w:cs="Google Sans" w:eastAsia="Google Sans" w:hAnsi="Google Sans"/>
          <w:color w:val="1f1f1f"/>
          <w:rtl w:val="0"/>
        </w:rPr>
        <w:t xml:space="preserve">. Secara akuntansi fiskal jangka pendek, kebijakan ini menimbulkan "ilusi optik" penurunan drastis pada pos Kekayaan Negara Dipisahkan (KND) di dalam APBN, mengingat setoran dividen yang biasanya mencapai ratusan triliun kini masuk ke dalam kas Danantara untuk di-reinvestasikan</w:t>
      </w:r>
      <w:r w:rsidDel="00000000" w:rsidR="00000000" w:rsidRPr="00000000">
        <w:rPr>
          <w:rFonts w:ascii="Google Sans" w:cs="Google Sans" w:eastAsia="Google Sans" w:hAnsi="Google Sans"/>
          <w:color w:val="444746"/>
          <w:sz w:val="24"/>
          <w:szCs w:val="24"/>
          <w:vertAlign w:val="superscript"/>
          <w:rtl w:val="0"/>
        </w:rPr>
        <w:t xml:space="preserve">55</w:t>
      </w:r>
      <w:r w:rsidDel="00000000" w:rsidR="00000000" w:rsidRPr="00000000">
        <w:rPr>
          <w:rFonts w:ascii="Google Sans" w:cs="Google Sans" w:eastAsia="Google Sans" w:hAnsi="Google Sans"/>
          <w:color w:val="1f1f1f"/>
          <w:rtl w:val="0"/>
        </w:rPr>
        <w:t xml:space="preserve">. Namun, dalam proyeksi jangka menengah, konsolidasi portofolio ini berpotensi menyelamatkan APBN</w:t>
      </w:r>
      <w:r w:rsidDel="00000000" w:rsidR="00000000" w:rsidRPr="00000000">
        <w:rPr>
          <w:rFonts w:ascii="Google Sans" w:cs="Google Sans" w:eastAsia="Google Sans" w:hAnsi="Google Sans"/>
          <w:color w:val="444746"/>
          <w:sz w:val="24"/>
          <w:szCs w:val="24"/>
          <w:vertAlign w:val="superscript"/>
          <w:rtl w:val="0"/>
        </w:rPr>
        <w:t xml:space="preserve">57</w:t>
      </w:r>
      <w:r w:rsidDel="00000000" w:rsidR="00000000" w:rsidRPr="00000000">
        <w:rPr>
          <w:rFonts w:ascii="Google Sans" w:cs="Google Sans" w:eastAsia="Google Sans" w:hAnsi="Google Sans"/>
          <w:color w:val="1f1f1f"/>
          <w:rtl w:val="0"/>
        </w:rPr>
        <w:t xml:space="preserve">. Dengan Danantara yang bertindak sebagai entitas otonom profesional—yang berhak melakukan penggabungan atau likuidasi BUMN merugi—negara dapat menghentikan kebiasaan menyuntikkan PMN dari kas pajak rakyat, sehingga dana tersebut dapat dialihkan untuk membiayai program kesejahteraan esensial.</w:t>
      </w:r>
    </w:p>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Membangkitkan Daya Beli Kelas Menengah Melalui Relaksasi Fiskal</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Struktur perekonomian Indonesia sangat ditopang oleh konsumsi rumah tangga, yang berkontribusi lebih dari 50% terhadap PDB</w:t>
      </w:r>
      <w:r w:rsidDel="00000000" w:rsidR="00000000" w:rsidRPr="00000000">
        <w:rPr>
          <w:rFonts w:ascii="Google Sans" w:cs="Google Sans" w:eastAsia="Google Sans" w:hAnsi="Google Sans"/>
          <w:color w:val="444746"/>
          <w:sz w:val="24"/>
          <w:szCs w:val="24"/>
          <w:vertAlign w:val="superscript"/>
          <w:rtl w:val="0"/>
        </w:rPr>
        <w:t xml:space="preserve">58</w:t>
      </w:r>
      <w:r w:rsidDel="00000000" w:rsidR="00000000" w:rsidRPr="00000000">
        <w:rPr>
          <w:rFonts w:ascii="Google Sans" w:cs="Google Sans" w:eastAsia="Google Sans" w:hAnsi="Google Sans"/>
          <w:color w:val="1f1f1f"/>
          <w:rtl w:val="0"/>
        </w:rPr>
        <w:t xml:space="preserve">. Motor utama dari konsumsi ini adalah kelas menengah. Akan tetapi, data Badan Pusat Statistik (BPS) menunjukkan fenomena yang mengkhawatirkan: sejak 2019 hingga 2024, sebanyak 9,48 juta jiwa masyarakat kelas menengah turun kasta menjadi kelompok rentan ekonomi</w:t>
      </w:r>
      <w:r w:rsidDel="00000000" w:rsidR="00000000" w:rsidRPr="00000000">
        <w:rPr>
          <w:rFonts w:ascii="Google Sans" w:cs="Google Sans" w:eastAsia="Google Sans" w:hAnsi="Google Sans"/>
          <w:color w:val="444746"/>
          <w:sz w:val="24"/>
          <w:szCs w:val="24"/>
          <w:vertAlign w:val="superscript"/>
          <w:rtl w:val="0"/>
        </w:rPr>
        <w:t xml:space="preserve">60</w:t>
      </w:r>
      <w:r w:rsidDel="00000000" w:rsidR="00000000" w:rsidRPr="00000000">
        <w:rPr>
          <w:rFonts w:ascii="Google Sans" w:cs="Google Sans" w:eastAsia="Google Sans" w:hAnsi="Google Sans"/>
          <w:color w:val="1f1f1f"/>
          <w:rtl w:val="0"/>
        </w:rPr>
        <w:t xml:space="preserve">. Degradasi ini merupakan akumulasi dari inflasi kebutuhan pokok, stagnasi upah, dan beban perpajakan yang kaku.</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Secara ironis, di saat daya belinya terpuruk, kelas menengah tetap menjadi subjek ekstraksi pajak terbesar melalui Pajak Penghasilan (PPh Pasal 21) bagi pekerja formal dan Pajak Pertambahan Nilai (PPN) bagi konsumen, yang mendominasi target penerimaan pajak nasional</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Rencana pemberlakuan tarif PPN sebesar 12% pada siklus 2025–2026 berisiko memberikan pukulan mematikan bagi konsumsi</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Karena kelas menengah merupakan pembeli utama produk Usaha Mikro, Kecil, dan Menengah (UMKM), pelemahan daya beli menengah akan memicu efek domino berupa kebangkrutan sektor informal di level bawah.</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Untuk membangkitkan produktivitas, pemerintah perlu mengubah paradigma dari ekstraksi pasif menjadi stimulus proaktif, salah satunya melalui penyesuaian Penghasilan Tidak Kena Pajak (PTKP). Kebijakan menaikkan ambang batas PTKP yang didasarkan pada Kebutuhan Hidup Layak (KHL) akan serta-merta meningkatkan take-home pay para pekerja</w:t>
      </w:r>
      <w:r w:rsidDel="00000000" w:rsidR="00000000" w:rsidRPr="00000000">
        <w:rPr>
          <w:rFonts w:ascii="Google Sans" w:cs="Google Sans" w:eastAsia="Google Sans" w:hAnsi="Google Sans"/>
          <w:color w:val="444746"/>
          <w:sz w:val="24"/>
          <w:szCs w:val="24"/>
          <w:vertAlign w:val="superscript"/>
          <w:rtl w:val="0"/>
        </w:rPr>
        <w:t xml:space="preserve">62</w:t>
      </w:r>
      <w:r w:rsidDel="00000000" w:rsidR="00000000" w:rsidRPr="00000000">
        <w:rPr>
          <w:rFonts w:ascii="Google Sans" w:cs="Google Sans" w:eastAsia="Google Sans" w:hAnsi="Google Sans"/>
          <w:color w:val="1f1f1f"/>
          <w:rtl w:val="0"/>
        </w:rPr>
        <w:t xml:space="preserve">. Berbeda dengan insentif perusahaan yang sering kali ditahan sebagai laba ditahan, pekerja kelas menengah memiliki kecenderungan marjinal untuk mengonsumsi (marginal propensity to consume) yang sangat tinggi</w:t>
      </w:r>
      <w:r w:rsidDel="00000000" w:rsidR="00000000" w:rsidRPr="00000000">
        <w:rPr>
          <w:rFonts w:ascii="Google Sans" w:cs="Google Sans" w:eastAsia="Google Sans" w:hAnsi="Google Sans"/>
          <w:color w:val="444746"/>
          <w:sz w:val="24"/>
          <w:szCs w:val="24"/>
          <w:vertAlign w:val="superscript"/>
          <w:rtl w:val="0"/>
        </w:rPr>
        <w:t xml:space="preserve">62</w:t>
      </w:r>
      <w:r w:rsidDel="00000000" w:rsidR="00000000" w:rsidRPr="00000000">
        <w:rPr>
          <w:rFonts w:ascii="Google Sans" w:cs="Google Sans" w:eastAsia="Google Sans" w:hAnsi="Google Sans"/>
          <w:color w:val="1f1f1f"/>
          <w:rtl w:val="0"/>
        </w:rPr>
        <w:t xml:space="preserve">. Dana segar dari relaksasi PTKP akan langsung dibelanjakan kembali ke pasar riil, menggerakkan roda perputaran uang, yang pada akhirnya akan kembali ke kas negara dalam bentuk PPN dari omzet perdagangan yang meningkat tajam. Ruang fiskal yang hilang dari kenaikan PTKP dapat dengan mudah dikompensasi melalui eksekusi pajak kekayaan oligarki dan pemangkasan belanja populis, menciptakan keseimbangan distribusi beban yang adil.</w:t>
      </w:r>
    </w:p>
    <w:p w:rsidR="00000000" w:rsidDel="00000000" w:rsidP="00000000" w:rsidRDefault="00000000" w:rsidRPr="00000000" w14:paraId="0000003A">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Optimalisasi Penerimaan yang Belum Tersentuh via Implementasi Coretax</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Untuk mendanai target RPJMN 2025-2029 tanpa harus mencekik aktivitas ekonomi dengan menaikkan tarif pajak, pemerintah mencanangkan target rasio pajak ambisius di kisaran 11,52% hingga 15% dari PDB</w:t>
      </w:r>
      <w:r w:rsidDel="00000000" w:rsidR="00000000" w:rsidRPr="00000000">
        <w:rPr>
          <w:rFonts w:ascii="Google Sans" w:cs="Google Sans" w:eastAsia="Google Sans" w:hAnsi="Google Sans"/>
          <w:color w:val="444746"/>
          <w:sz w:val="24"/>
          <w:szCs w:val="24"/>
          <w:vertAlign w:val="superscript"/>
          <w:rtl w:val="0"/>
        </w:rPr>
        <w:t xml:space="preserve">10</w:t>
      </w:r>
      <w:r w:rsidDel="00000000" w:rsidR="00000000" w:rsidRPr="00000000">
        <w:rPr>
          <w:rFonts w:ascii="Google Sans" w:cs="Google Sans" w:eastAsia="Google Sans" w:hAnsi="Google Sans"/>
          <w:color w:val="1f1f1f"/>
          <w:rtl w:val="0"/>
        </w:rPr>
        <w:t xml:space="preserve">. Senjata utama untuk mengekstraksi potensi yang belum tersentuh adalah penerapan Sistem Inti Administrasi Perpajakan (Core Tax Administration System/CTAS) atau Coretax, yang diproyeksikan beroperasi penuh mulai pertengahan 2026</w:t>
      </w:r>
      <w:r w:rsidDel="00000000" w:rsidR="00000000" w:rsidRPr="00000000">
        <w:rPr>
          <w:rFonts w:ascii="Google Sans" w:cs="Google Sans" w:eastAsia="Google Sans" w:hAnsi="Google Sans"/>
          <w:color w:val="444746"/>
          <w:sz w:val="24"/>
          <w:szCs w:val="24"/>
          <w:vertAlign w:val="superscript"/>
          <w:rtl w:val="0"/>
        </w:rPr>
        <w:t xml:space="preserve">10</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Sistem Coretax merupakan perombakan arsitektur digital DJP yang mengintegrasikan 21 proses bisnis, termasuk pendaftaran berbasis Nomor Induk Kependudukan (NIK), pelaporan, hingga penegakan hukum</w:t>
      </w:r>
      <w:r w:rsidDel="00000000" w:rsidR="00000000" w:rsidRPr="00000000">
        <w:rPr>
          <w:rFonts w:ascii="Google Sans" w:cs="Google Sans" w:eastAsia="Google Sans" w:hAnsi="Google Sans"/>
          <w:color w:val="444746"/>
          <w:sz w:val="24"/>
          <w:szCs w:val="24"/>
          <w:vertAlign w:val="superscript"/>
          <w:rtl w:val="0"/>
        </w:rPr>
        <w:t xml:space="preserve">64</w:t>
      </w:r>
      <w:r w:rsidDel="00000000" w:rsidR="00000000" w:rsidRPr="00000000">
        <w:rPr>
          <w:rFonts w:ascii="Google Sans" w:cs="Google Sans" w:eastAsia="Google Sans" w:hAnsi="Google Sans"/>
          <w:color w:val="1f1f1f"/>
          <w:rtl w:val="0"/>
        </w:rPr>
        <w:t xml:space="preserve">. Potensi paling revolusioner dari Coretax adalah kemampuannya menembus shadow economy (ekonomi bayangan). Sektor informal di Indonesia diestimasikan masih menyumbang sekitar 36% dari PDB, yang selama ini beroperasi di luar radar otoritas pajak</w:t>
      </w:r>
      <w:r w:rsidDel="00000000" w:rsidR="00000000" w:rsidRPr="00000000">
        <w:rPr>
          <w:rFonts w:ascii="Google Sans" w:cs="Google Sans" w:eastAsia="Google Sans" w:hAnsi="Google Sans"/>
          <w:color w:val="444746"/>
          <w:sz w:val="24"/>
          <w:szCs w:val="24"/>
          <w:vertAlign w:val="superscript"/>
          <w:rtl w:val="0"/>
        </w:rPr>
        <w:t xml:space="preserve">10</w:t>
      </w:r>
      <w:r w:rsidDel="00000000" w:rsidR="00000000" w:rsidRPr="00000000">
        <w:rPr>
          <w:rFonts w:ascii="Google Sans" w:cs="Google Sans" w:eastAsia="Google Sans" w:hAnsi="Google Sans"/>
          <w:color w:val="1f1f1f"/>
          <w:rtl w:val="0"/>
        </w:rPr>
        <w:t xml:space="preserve">. Dengan algoritma pencocokan data otomatis lintas kementerian, perbankan, dan data AEoI global, Coretax dapat memetakan aset HWI, mendeteksi penghasilan ekonomi digital (seperti e-commerce, aset kripto, dan profesi lepas), serta meminimalisasi ruang untuk manipulasi pajak</w:t>
      </w:r>
      <w:r w:rsidDel="00000000" w:rsidR="00000000" w:rsidRPr="00000000">
        <w:rPr>
          <w:rFonts w:ascii="Google Sans" w:cs="Google Sans" w:eastAsia="Google Sans" w:hAnsi="Google Sans"/>
          <w:color w:val="444746"/>
          <w:sz w:val="24"/>
          <w:szCs w:val="24"/>
          <w:vertAlign w:val="superscript"/>
          <w:rtl w:val="0"/>
        </w:rPr>
        <w:t xml:space="preserve">10</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Analisis Bank Dunia mengestimasikan bahwa pengoperasian sistem pajak terintegrasi seperti Coretax memiliki potensi mendongkrak penerimaan negara secara organik sebesar 0,7% hingga 1,2% dari PDB, yang ekuivalen dengan tambahan kas masuk sekitar Rp150 triliun hingga Rp200 triliun per tahun, murni dari perluasan basis (ekstensifikasi) tanpa perlu merombak undang-undang penetapan tarif</w:t>
      </w:r>
      <w:r w:rsidDel="00000000" w:rsidR="00000000" w:rsidRPr="00000000">
        <w:rPr>
          <w:rFonts w:ascii="Google Sans" w:cs="Google Sans" w:eastAsia="Google Sans" w:hAnsi="Google Sans"/>
          <w:color w:val="444746"/>
          <w:sz w:val="24"/>
          <w:szCs w:val="24"/>
          <w:vertAlign w:val="superscript"/>
          <w:rtl w:val="0"/>
        </w:rPr>
        <w:t xml:space="preserve">66</w:t>
      </w:r>
      <w:r w:rsidDel="00000000" w:rsidR="00000000" w:rsidRPr="00000000">
        <w:rPr>
          <w:rFonts w:ascii="Google Sans" w:cs="Google Sans" w:eastAsia="Google Sans" w:hAnsi="Google Sans"/>
          <w:color w:val="1f1f1f"/>
          <w:rtl w:val="0"/>
        </w:rPr>
        <w:t xml:space="preserve">. Selain ekonomi bayangan, penerapan penuh pajak lingkungan seperti bursa karbon untuk industri tinggi emisi juga menyimpan cadangan pendapatan masif yang sejalan dengan tren keberlanjutan global</w:t>
      </w:r>
      <w:r w:rsidDel="00000000" w:rsidR="00000000" w:rsidRPr="00000000">
        <w:rPr>
          <w:rFonts w:ascii="Google Sans" w:cs="Google Sans" w:eastAsia="Google Sans" w:hAnsi="Google Sans"/>
          <w:color w:val="444746"/>
          <w:sz w:val="24"/>
          <w:szCs w:val="24"/>
          <w:vertAlign w:val="superscript"/>
          <w:rtl w:val="0"/>
        </w:rPr>
        <w:t xml:space="preserve">67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E">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Proyeksi Makroekonomi 5 Tahun ke Depan (2026–2031)</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Keputusan yang diambil pada tahun transisi 2026 mengenai optimalisasi pajak SDA, pemajakan kekayaan, dan efisiensi anggaran akan menentukan trajektori kesejahteraan makroekonomi Indonesia hingga tahun 2031. Berdasarkan permodelan fiskal, respons pertumbuhan ekonomi terhadap beban pajak mengikuti pola Kurva Laffer</w:t>
      </w:r>
      <w:r w:rsidDel="00000000" w:rsidR="00000000" w:rsidRPr="00000000">
        <w:rPr>
          <w:rFonts w:ascii="Google Sans" w:cs="Google Sans" w:eastAsia="Google Sans" w:hAnsi="Google Sans"/>
          <w:color w:val="444746"/>
          <w:sz w:val="24"/>
          <w:szCs w:val="24"/>
          <w:vertAlign w:val="superscript"/>
          <w:rtl w:val="0"/>
        </w:rPr>
        <w:t xml:space="preserve">68</w:t>
      </w:r>
      <w:r w:rsidDel="00000000" w:rsidR="00000000" w:rsidRPr="00000000">
        <w:rPr>
          <w:rFonts w:ascii="Google Sans" w:cs="Google Sans" w:eastAsia="Google Sans" w:hAnsi="Google Sans"/>
          <w:color w:val="1f1f1f"/>
          <w:rtl w:val="0"/>
        </w:rPr>
        <w:t xml:space="preserve">. Terdapat dua skenario kausalitas utama:</w:t>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Skenario 1: Jika Penghematan dan Penyumbatan Kebocoran Tidak Dilakukan (Status Quo)</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Jika pemerintah tidak memiliki kemauan politik untuk mengaudit oligarki SDA, membiarkan under-invoicing terus berjalan, dan mendiamkan korupsi serta belanja populis elektoral, APBN akan menghadapi implosi struktural.</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Jebakan Utang (Debt Trap) dan Krisis Likuiditas:</w:t>
      </w:r>
      <w:r w:rsidDel="00000000" w:rsidR="00000000" w:rsidRPr="00000000">
        <w:rPr>
          <w:rFonts w:ascii="Google Sans" w:cs="Google Sans" w:eastAsia="Google Sans" w:hAnsi="Google Sans"/>
          <w:color w:val="1f1f1f"/>
          <w:rtl w:val="0"/>
        </w:rPr>
        <w:t xml:space="preserve"> Rasio utang pemerintah yang saat ini bertengger di kisaran 40,75% terhadap PDB (mendekati Rp10.000 triliun) akan tereskalasi secara eksponensial</w:t>
      </w:r>
      <w:r w:rsidDel="00000000" w:rsidR="00000000" w:rsidRPr="00000000">
        <w:rPr>
          <w:rFonts w:ascii="Google Sans" w:cs="Google Sans" w:eastAsia="Google Sans" w:hAnsi="Google Sans"/>
          <w:color w:val="444746"/>
          <w:sz w:val="24"/>
          <w:szCs w:val="24"/>
          <w:vertAlign w:val="superscript"/>
          <w:rtl w:val="0"/>
        </w:rPr>
        <w:t xml:space="preserve">70</w:t>
      </w:r>
      <w:r w:rsidDel="00000000" w:rsidR="00000000" w:rsidRPr="00000000">
        <w:rPr>
          <w:rFonts w:ascii="Google Sans" w:cs="Google Sans" w:eastAsia="Google Sans" w:hAnsi="Google Sans"/>
          <w:color w:val="1f1f1f"/>
          <w:rtl w:val="0"/>
        </w:rPr>
        <w:t xml:space="preserve">. Defisit APBN akan terus dipaksa menyentuh ambang batas 3% dari PDB untuk membiayai operasional dasar</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Efek Pendesakan (Crowding-out Effect):</w:t>
      </w:r>
      <w:r w:rsidDel="00000000" w:rsidR="00000000" w:rsidRPr="00000000">
        <w:rPr>
          <w:rFonts w:ascii="Google Sans" w:cs="Google Sans" w:eastAsia="Google Sans" w:hAnsi="Google Sans"/>
          <w:color w:val="1f1f1f"/>
          <w:rtl w:val="0"/>
        </w:rPr>
        <w:t xml:space="preserve"> Beban pembayaran bunga utang yang akan segera melampaui Rp600 triliun akan menggerus sepertiga penerimaan pajak. Negara terpaksa menerbitkan Surat Berharga Negara (SBN) dengan suku bunga tinggi (berkisar 6,9%) untuk menarik investor, yang secara langsung menyedot likuiditas dari pasar domestik</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Akibatnya, perbankan kehilangan kapasitas untuk memberikan kredit murah bagi ekspansi bisnis swasta dan UMKM</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Stagnasi Pertumbuhan:</w:t>
      </w:r>
      <w:r w:rsidDel="00000000" w:rsidR="00000000" w:rsidRPr="00000000">
        <w:rPr>
          <w:rFonts w:ascii="Google Sans" w:cs="Google Sans" w:eastAsia="Google Sans" w:hAnsi="Google Sans"/>
          <w:color w:val="1f1f1f"/>
          <w:rtl w:val="0"/>
        </w:rPr>
        <w:t xml:space="preserve"> Institute for Development of Economics and Finance (INDEF) memproyeksikan bahwa dalam kondisi fiskal yang konservatif dan beban utang tinggi, pertumbuhan ekonomi Indonesia bisa tertahan di angka 4,5%</w:t>
      </w:r>
      <w:r w:rsidDel="00000000" w:rsidR="00000000" w:rsidRPr="00000000">
        <w:rPr>
          <w:rFonts w:ascii="Google Sans" w:cs="Google Sans" w:eastAsia="Google Sans" w:hAnsi="Google Sans"/>
          <w:color w:val="444746"/>
          <w:sz w:val="24"/>
          <w:szCs w:val="24"/>
          <w:vertAlign w:val="superscript"/>
          <w:rtl w:val="0"/>
        </w:rPr>
        <w:t xml:space="preserve">73</w:t>
      </w:r>
      <w:r w:rsidDel="00000000" w:rsidR="00000000" w:rsidRPr="00000000">
        <w:rPr>
          <w:rFonts w:ascii="Google Sans" w:cs="Google Sans" w:eastAsia="Google Sans" w:hAnsi="Google Sans"/>
          <w:color w:val="1f1f1f"/>
          <w:rtl w:val="0"/>
        </w:rPr>
        <w:t xml:space="preserve">. Pertumbuhan stagnan ini menyebabkan daya serap tenaga kerja melorot, memiskinkan kelas menengah lebih dalam, dan menjebak Indonesia dalam middle-income trap secara permanen</w:t>
      </w:r>
      <w:r w:rsidDel="00000000" w:rsidR="00000000" w:rsidRPr="00000000">
        <w:rPr>
          <w:rFonts w:ascii="Google Sans" w:cs="Google Sans" w:eastAsia="Google Sans" w:hAnsi="Google Sans"/>
          <w:color w:val="444746"/>
          <w:sz w:val="24"/>
          <w:szCs w:val="24"/>
          <w:vertAlign w:val="superscript"/>
          <w:rtl w:val="0"/>
        </w:rPr>
        <w:t xml:space="preserve">74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Skenario 2: Jika Pajak Kekayaan Oligarki, SDA, dan Efisiensi Anggaran Dilakukan</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Apabila reformasi perpajakan yang agresif (wealth tax 2%, integrasi Coretax, pemberantasan penyelundupan Rp60 triliun) dan rasionalisasi belanja (eliminasi PMN BUMN merugi, pemotongan program PBC) dieksekusi, ruang fiskal akan mengalami perluasan luar biasa.</w:t>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Pencapaian Optimal Tax Ratio:</w:t>
      </w:r>
      <w:r w:rsidDel="00000000" w:rsidR="00000000" w:rsidRPr="00000000">
        <w:rPr>
          <w:rFonts w:ascii="Google Sans" w:cs="Google Sans" w:eastAsia="Google Sans" w:hAnsi="Google Sans"/>
          <w:color w:val="1f1f1f"/>
          <w:rtl w:val="0"/>
        </w:rPr>
        <w:t xml:space="preserve"> Ekstensifikasi pemajakan HWI dan shadow economy akan mendorong rasio pajak bergerak menuju target 15%. Riset ekonometrika mengindikasikan bahwa rasio pajak optimal bagi perekonomian Indonesia adalah 15,29%</w:t>
      </w:r>
      <w:r w:rsidDel="00000000" w:rsidR="00000000" w:rsidRPr="00000000">
        <w:rPr>
          <w:rFonts w:ascii="Google Sans" w:cs="Google Sans" w:eastAsia="Google Sans" w:hAnsi="Google Sans"/>
          <w:color w:val="444746"/>
          <w:sz w:val="24"/>
          <w:szCs w:val="24"/>
          <w:vertAlign w:val="superscript"/>
          <w:rtl w:val="0"/>
        </w:rPr>
        <w:t xml:space="preserve">68</w:t>
      </w:r>
      <w:r w:rsidDel="00000000" w:rsidR="00000000" w:rsidRPr="00000000">
        <w:rPr>
          <w:rFonts w:ascii="Google Sans" w:cs="Google Sans" w:eastAsia="Google Sans" w:hAnsi="Google Sans"/>
          <w:color w:val="1f1f1f"/>
          <w:rtl w:val="0"/>
        </w:rPr>
        <w:t xml:space="preserve">. Mencapai titik ini tidak akan mengontraksi ekonomi; sebaliknya, pemungutan pajak akan berbalik menjadi ekspansif (growth-inducing) karena negara memiliki kecukupan dana untuk membiayai belanja produktif tanpa berutang</w:t>
      </w:r>
      <w:r w:rsidDel="00000000" w:rsidR="00000000" w:rsidRPr="00000000">
        <w:rPr>
          <w:rFonts w:ascii="Google Sans" w:cs="Google Sans" w:eastAsia="Google Sans" w:hAnsi="Google Sans"/>
          <w:color w:val="444746"/>
          <w:sz w:val="24"/>
          <w:szCs w:val="24"/>
          <w:vertAlign w:val="superscript"/>
          <w:rtl w:val="0"/>
        </w:rPr>
        <w:t xml:space="preserve">68</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Surplus Primer dan Penguatan Fundamental:</w:t>
      </w:r>
      <w:r w:rsidDel="00000000" w:rsidR="00000000" w:rsidRPr="00000000">
        <w:rPr>
          <w:rFonts w:ascii="Google Sans" w:cs="Google Sans" w:eastAsia="Google Sans" w:hAnsi="Google Sans"/>
          <w:color w:val="1f1f1f"/>
          <w:rtl w:val="0"/>
        </w:rPr>
        <w:t xml:space="preserve"> Tambahan ratusan triliun dari oligarki dan efisiensi pengadaan (KPK/ICW) akan menekan defisit anggaran. Keseimbangan primer dapat kembali surplus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Penurunan suplai emisi SBN pemerintah akan menekan suku bunga acuan ke bawah, melepaskan likuiditas bagi sektor swasta untuk menggenjot investasi manufaktur dan teknologi</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Akselerasi Pertumbuhan Inklusif:</w:t>
      </w:r>
      <w:r w:rsidDel="00000000" w:rsidR="00000000" w:rsidRPr="00000000">
        <w:rPr>
          <w:rFonts w:ascii="Google Sans" w:cs="Google Sans" w:eastAsia="Google Sans" w:hAnsi="Google Sans"/>
          <w:color w:val="1f1f1f"/>
          <w:rtl w:val="0"/>
        </w:rPr>
        <w:t xml:space="preserve"> Dana segar dari hasil penertiban SDA dapat digunakan untuk mensubsidi PTKP kelas menengah dan memperbaiki ekosistem pendidikan-kesehatan. Dengan daya beli yang pulih, konsumsi domestik akan melejit, memungkinkan mesin ekonomi tumbuh melampaui 6% per tahun dalam lima tahun ke depan, yang menjadi landasan logis menuju cita-cita Indonesia Emas 2045</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4A">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Kesimpulan: Menjawab Paradoks Ekonomi Politik Indonesia</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Riset analitik ini mengesahkan keberadaan celah struktural yang menjelaskan tiga paradoks fundamental dalam tata kelola negara, yang sekaligus menjawab fokus rumusan dari kajian ini:</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Pertama, mengenai dominasi PPh dan PPN kelas menengah (hingga 82%) di negara yang kaya akan Sumber Daya Alam.</w:t>
      </w:r>
      <w:r w:rsidDel="00000000" w:rsidR="00000000" w:rsidRPr="00000000">
        <w:rPr>
          <w:rFonts w:ascii="Google Sans" w:cs="Google Sans" w:eastAsia="Google Sans" w:hAnsi="Google Sans"/>
          <w:color w:val="1f1f1f"/>
          <w:rtl w:val="0"/>
        </w:rPr>
        <w:t xml:space="preserve"> Fenomena ini adalah manifestasi dari intervensi regulasi asimetris yang melahirkan tax expenditure masif. Pemerintah merelakan hilangnya potensi pendapatan lebih dari Rp400 triliun per tahun (yang diproyeksikan naik menjadi Rp607 triliun) dengan dalih memberikan insentif investasi, tax holiday bagi industri ekstraktif, dan pembebasan PPh dividen korporasi</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Sementara korporasi raksasa dan eksportir memanfaatkan kelemahan pengawasan untuk melakukan under-invoicing dan transfer pricing via luar negeri (merugikan ribuan triliun rupiah secara historis)</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sistem pajak membebankan target kekurangannya kepada captive taxpayers yang tidak dapat menghindar. Wajib pajak kelas menengah—pekerja formal yang gajinya dipotong langsung dan konsumen yang dikenai PPN di setiap transaksi—dijadikan bantalan utama, sehingga struktur pajak menjadi regresif terhadap kelompok menengah dan terlalu ramah pada elit kapital</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Kedua, mengenai absennya peningkatan pelayanan publik (pendidikan, kesehatan, transportasi) meskipun pajak menjadi tulang punggung penerimaan.</w:t>
      </w:r>
      <w:r w:rsidDel="00000000" w:rsidR="00000000" w:rsidRPr="00000000">
        <w:rPr>
          <w:rFonts w:ascii="Google Sans" w:cs="Google Sans" w:eastAsia="Google Sans" w:hAnsi="Google Sans"/>
          <w:color w:val="1f1f1f"/>
          <w:rtl w:val="0"/>
        </w:rPr>
        <w:t xml:space="preserve"> Kondisi ini bersumber dari disfungsi alokasi akibat jebakan kekakuan fiskal (fiscal rigidity) dan korupsi. Setoran pajak tidak dikonversi menjadi layanan publik karena lebih dari 23% uang pajak seketika mengalir keluar sebagai biaya kompensasi untuk melunasi bunga utang obligasi kepada kreditor</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Setelah dipotong utang, sisa kas negara mengalami pendarahan melalui inefisiensi pengadaan barang dan proyek (dengan potensi korupsi mencapai Rp279 triliun di tahun 2024)</w:t>
      </w:r>
      <w:r w:rsidDel="00000000" w:rsidR="00000000" w:rsidRPr="00000000">
        <w:rPr>
          <w:rFonts w:ascii="Google Sans" w:cs="Google Sans" w:eastAsia="Google Sans" w:hAnsi="Google Sans"/>
          <w:color w:val="444746"/>
          <w:sz w:val="24"/>
          <w:szCs w:val="24"/>
          <w:vertAlign w:val="superscript"/>
          <w:rtl w:val="0"/>
        </w:rPr>
        <w:t xml:space="preserve">27</w:t>
      </w:r>
      <w:r w:rsidDel="00000000" w:rsidR="00000000" w:rsidRPr="00000000">
        <w:rPr>
          <w:rFonts w:ascii="Google Sans" w:cs="Google Sans" w:eastAsia="Google Sans" w:hAnsi="Google Sans"/>
          <w:color w:val="1f1f1f"/>
          <w:rtl w:val="0"/>
        </w:rPr>
        <w:t xml:space="preserve">, serta dihamburkan untuk subsidi penyelamatan (PMN) BUMN yang dirundung fraud dan utang komersial</w:t>
      </w:r>
      <w:r w:rsidDel="00000000" w:rsidR="00000000" w:rsidRPr="00000000">
        <w:rPr>
          <w:rFonts w:ascii="Google Sans" w:cs="Google Sans" w:eastAsia="Google Sans" w:hAnsi="Google Sans"/>
          <w:color w:val="444746"/>
          <w:sz w:val="24"/>
          <w:szCs w:val="24"/>
          <w:vertAlign w:val="superscript"/>
          <w:rtl w:val="0"/>
        </w:rPr>
        <w:t xml:space="preserve">45</w:t>
      </w:r>
      <w:r w:rsidDel="00000000" w:rsidR="00000000" w:rsidRPr="00000000">
        <w:rPr>
          <w:rFonts w:ascii="Google Sans" w:cs="Google Sans" w:eastAsia="Google Sans" w:hAnsi="Google Sans"/>
          <w:color w:val="1f1f1f"/>
          <w:rtl w:val="0"/>
        </w:rPr>
        <w:t xml:space="preserve">. Akibatnya, alokasi bersih yang murni tersalurkan untuk transformasi mutu pelayanan dasar masyarakat menjadi sangat marjinal.</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Ketiga, mengenai motif jangka pendek (mindset 5 tahunan) para politisi dalam menguasai sumber daya negara.</w:t>
      </w:r>
      <w:r w:rsidDel="00000000" w:rsidR="00000000" w:rsidRPr="00000000">
        <w:rPr>
          <w:rFonts w:ascii="Google Sans" w:cs="Google Sans" w:eastAsia="Google Sans" w:hAnsi="Google Sans"/>
          <w:color w:val="1f1f1f"/>
          <w:rtl w:val="0"/>
        </w:rPr>
        <w:t xml:space="preserve"> Kajian akademik yang membedah Political Budget Cycle (PBC) mengonfirmasi bahwa pasca-pemilihan langsung, struktur insentif politisi Indonesia berubah menjadi patronase anggaran</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Karena pemilu berbiaya tinggi dan suara pemilih dipengaruhi oleh apa yang mereka terima sesaat sebelum pencoblosan, para politisi (khususnya petahana) terdesak untuk menjarah atau merekayasa alokasi APBN/APBD demi program populis sesaat (bansos, hibah tunai) pada tahun pemilihan</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Kondisi keuangan negara yang sejatinya terbatas dimanipulasi dengan melebarkan defisit dan berutang demi membiayai pembengkakan tersebut</w:t>
      </w:r>
      <w:r w:rsidDel="00000000" w:rsidR="00000000" w:rsidRPr="00000000">
        <w:rPr>
          <w:rFonts w:ascii="Google Sans" w:cs="Google Sans" w:eastAsia="Google Sans" w:hAnsi="Google Sans"/>
          <w:color w:val="444746"/>
          <w:sz w:val="24"/>
          <w:szCs w:val="24"/>
          <w:vertAlign w:val="superscript"/>
          <w:rtl w:val="0"/>
        </w:rPr>
        <w:t xml:space="preserve">43</w:t>
      </w:r>
      <w:r w:rsidDel="00000000" w:rsidR="00000000" w:rsidRPr="00000000">
        <w:rPr>
          <w:rFonts w:ascii="Google Sans" w:cs="Google Sans" w:eastAsia="Google Sans" w:hAnsi="Google Sans"/>
          <w:color w:val="1f1f1f"/>
          <w:rtl w:val="0"/>
        </w:rPr>
        <w:t xml:space="preserve">. Pola pikir ini sangat miopik: politisi mengeruk kekayaan birokrasi secepat mungkin untuk mengamankan siklus kekuasaan mereka berikutnya, mengabaikan fakta bahwa pemborosan ini merusak kapasitas fiskal jangka panjang negara dan membebani generasi penerus dengan tumpukan utang yang tidak berkelanjutan</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Sebagai konklusi akhir, penyelamatan struktur ekonomi makro Indonesia hanya dapat diwujudkan melalui kemauan politik (political will) untuk meredistribusi beban secara adil. Pemberantasan penyelundupan sumber daya alam, penerapan wealth tax bagi kelompok superkaya, penghapusan subsidi elektoral, serta rasionalisasi BUMN harus menjadi prioritas utama. Dengan optimalisasi infrastruktur digital Coretax yang diarahkan untuk menyisir ekonomi bayangan dan kekayaan offshore, negara memiliki kemampuan empiris untuk melepaskan jerat ketergantungan utang dan membangkitkan kelas menengah sebagai motor peradaban menuju negara maju pada dekade mendatang.</w:t>
      </w:r>
    </w:p>
    <w:p w:rsidR="00000000" w:rsidDel="00000000" w:rsidP="00000000" w:rsidRDefault="00000000" w:rsidRPr="00000000" w14:paraId="00000050">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Karya yang dikutip</w:t>
      </w:r>
    </w:p>
    <w:p w:rsidR="00000000" w:rsidDel="00000000" w:rsidP="00000000" w:rsidRDefault="00000000" w:rsidRPr="00000000" w14:paraId="0000005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Riset Historis APBN Indonesia.md</w:t>
      </w:r>
    </w:p>
    <w:p w:rsidR="00000000" w:rsidDel="00000000" w:rsidP="00000000" w:rsidRDefault="00000000" w:rsidRPr="00000000" w14:paraId="0000005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2024 Article IV Consultation-Press Release; Staff Report; and Statement by the Executive Director for Indonesia; IMF, </w:t>
      </w:r>
      <w:hyperlink r:id="rId6">
        <w:r w:rsidDel="00000000" w:rsidR="00000000" w:rsidRPr="00000000">
          <w:rPr>
            <w:rFonts w:ascii="Google Sans" w:cs="Google Sans" w:eastAsia="Google Sans" w:hAnsi="Google Sans"/>
            <w:color w:val="0000ee"/>
            <w:sz w:val="24"/>
            <w:szCs w:val="24"/>
            <w:u w:val="single"/>
            <w:rtl w:val="0"/>
          </w:rPr>
          <w:t xml:space="preserve">https://www.elibrary.imf.org/downloadpdf/journals/002/2024/270/article-A000-en.pdf</w:t>
        </w:r>
      </w:hyperlink>
      <w:r w:rsidDel="00000000" w:rsidR="00000000" w:rsidRPr="00000000">
        <w:rPr>
          <w:rtl w:val="0"/>
        </w:rPr>
      </w:r>
    </w:p>
    <w:p w:rsidR="00000000" w:rsidDel="00000000" w:rsidP="00000000" w:rsidRDefault="00000000" w:rsidRPr="00000000" w14:paraId="0000005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Pemerintah dan Banggar DPR Sepakati Usulan Postur APBN 2026, </w:t>
      </w:r>
      <w:hyperlink r:id="rId7">
        <w:r w:rsidDel="00000000" w:rsidR="00000000" w:rsidRPr="00000000">
          <w:rPr>
            <w:rFonts w:ascii="Google Sans" w:cs="Google Sans" w:eastAsia="Google Sans" w:hAnsi="Google Sans"/>
            <w:color w:val="0000ee"/>
            <w:sz w:val="24"/>
            <w:szCs w:val="24"/>
            <w:u w:val="single"/>
            <w:rtl w:val="0"/>
          </w:rPr>
          <w:t xml:space="preserve">https://www.kemenkeu.go.id/informasi-publik/publikasi/berita-utama/raker-banggar-sepakati-apbn26</w:t>
        </w:r>
      </w:hyperlink>
      <w:r w:rsidDel="00000000" w:rsidR="00000000" w:rsidRPr="00000000">
        <w:rPr>
          <w:rtl w:val="0"/>
        </w:rPr>
      </w:r>
    </w:p>
    <w:p w:rsidR="00000000" w:rsidDel="00000000" w:rsidP="00000000" w:rsidRDefault="00000000" w:rsidRPr="00000000" w14:paraId="0000005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Postur RAPBN 2026 Disepakati: Pendapatan Rp3.153 T, Belanja Rp3.842 T - Informasi.com, </w:t>
      </w:r>
      <w:hyperlink r:id="rId8">
        <w:r w:rsidDel="00000000" w:rsidR="00000000" w:rsidRPr="00000000">
          <w:rPr>
            <w:rFonts w:ascii="Google Sans" w:cs="Google Sans" w:eastAsia="Google Sans" w:hAnsi="Google Sans"/>
            <w:color w:val="0000ee"/>
            <w:sz w:val="24"/>
            <w:szCs w:val="24"/>
            <w:u w:val="single"/>
            <w:rtl w:val="0"/>
          </w:rPr>
          <w:t xml:space="preserve">https://informasi.com/data/infrms-23916/postur-rapbn-2026-disepakati-pendapatan-rp3153-t-belanja-rp3842-t</w:t>
        </w:r>
      </w:hyperlink>
      <w:r w:rsidDel="00000000" w:rsidR="00000000" w:rsidRPr="00000000">
        <w:rPr>
          <w:rtl w:val="0"/>
        </w:rPr>
      </w:r>
    </w:p>
    <w:p w:rsidR="00000000" w:rsidDel="00000000" w:rsidP="00000000" w:rsidRDefault="00000000" w:rsidRPr="00000000" w14:paraId="0000005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DPR Sahkan UU APBN 2026, Berikut Postur dan Targetnya - MUC Consulting, </w:t>
      </w:r>
      <w:hyperlink r:id="rId9">
        <w:r w:rsidDel="00000000" w:rsidR="00000000" w:rsidRPr="00000000">
          <w:rPr>
            <w:rFonts w:ascii="Google Sans" w:cs="Google Sans" w:eastAsia="Google Sans" w:hAnsi="Google Sans"/>
            <w:color w:val="0000ee"/>
            <w:sz w:val="24"/>
            <w:szCs w:val="24"/>
            <w:u w:val="single"/>
            <w:rtl w:val="0"/>
          </w:rPr>
          <w:t xml:space="preserve">https://muc.co.id/id/article/dpr-sahkan-uu-apbn-2026-berikut-postur-dan-targetnya</w:t>
        </w:r>
      </w:hyperlink>
      <w:r w:rsidDel="00000000" w:rsidR="00000000" w:rsidRPr="00000000">
        <w:rPr>
          <w:rtl w:val="0"/>
        </w:rPr>
      </w:r>
    </w:p>
    <w:p w:rsidR="00000000" w:rsidDel="00000000" w:rsidP="00000000" w:rsidRDefault="00000000" w:rsidRPr="00000000" w14:paraId="0000005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Seluruh Postur Disepakati, DPR Sahkan RAPBN 2026 Menjadi Undang-Undang, </w:t>
      </w:r>
      <w:hyperlink r:id="rId10">
        <w:r w:rsidDel="00000000" w:rsidR="00000000" w:rsidRPr="00000000">
          <w:rPr>
            <w:rFonts w:ascii="Google Sans" w:cs="Google Sans" w:eastAsia="Google Sans" w:hAnsi="Google Sans"/>
            <w:color w:val="0000ee"/>
            <w:sz w:val="24"/>
            <w:szCs w:val="24"/>
            <w:u w:val="single"/>
            <w:rtl w:val="0"/>
          </w:rPr>
          <w:t xml:space="preserve">https://news.ddtc.co.id/berita/nasional/1813910/seluruh-postur-disepakati-dpr-sahkan-rapbn-2026-menjadi-undang-undang</w:t>
        </w:r>
      </w:hyperlink>
      <w:r w:rsidDel="00000000" w:rsidR="00000000" w:rsidRPr="00000000">
        <w:rPr>
          <w:rtl w:val="0"/>
        </w:rPr>
      </w:r>
    </w:p>
    <w:p w:rsidR="00000000" w:rsidDel="00000000" w:rsidP="00000000" w:rsidRDefault="00000000" w:rsidRPr="00000000" w14:paraId="0000005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Beban Utang Membengkak, Setengah Penerimaan Pajak Terancam Tersedot, </w:t>
      </w:r>
      <w:hyperlink r:id="rId11">
        <w:r w:rsidDel="00000000" w:rsidR="00000000" w:rsidRPr="00000000">
          <w:rPr>
            <w:rFonts w:ascii="Google Sans" w:cs="Google Sans" w:eastAsia="Google Sans" w:hAnsi="Google Sans"/>
            <w:color w:val="0000ee"/>
            <w:sz w:val="24"/>
            <w:szCs w:val="24"/>
            <w:u w:val="single"/>
            <w:rtl w:val="0"/>
          </w:rPr>
          <w:t xml:space="preserve">https://www.ssas.co.id/beban-utang-membengkak-setengah-penerimaan-pajak-terancam-tersedot/</w:t>
        </w:r>
      </w:hyperlink>
      <w:r w:rsidDel="00000000" w:rsidR="00000000" w:rsidRPr="00000000">
        <w:rPr>
          <w:rtl w:val="0"/>
        </w:rPr>
      </w:r>
    </w:p>
    <w:p w:rsidR="00000000" w:rsidDel="00000000" w:rsidP="00000000" w:rsidRDefault="00000000" w:rsidRPr="00000000" w14:paraId="0000005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23 Persen Pajak Habis untuk Bunga Utang, Fiskal RI Lampu Kuning - INAnews, </w:t>
      </w:r>
      <w:hyperlink r:id="rId12">
        <w:r w:rsidDel="00000000" w:rsidR="00000000" w:rsidRPr="00000000">
          <w:rPr>
            <w:rFonts w:ascii="Google Sans" w:cs="Google Sans" w:eastAsia="Google Sans" w:hAnsi="Google Sans"/>
            <w:color w:val="0000ee"/>
            <w:sz w:val="24"/>
            <w:szCs w:val="24"/>
            <w:u w:val="single"/>
            <w:rtl w:val="0"/>
          </w:rPr>
          <w:t xml:space="preserve">https://www.inanews.co.id/2026/05/23-persen-pajak-habis-untuk-bunga-utang-fiskal-ri-lampu-kuning/</w:t>
        </w:r>
      </w:hyperlink>
      <w:r w:rsidDel="00000000" w:rsidR="00000000" w:rsidRPr="00000000">
        <w:rPr>
          <w:rtl w:val="0"/>
        </w:rPr>
      </w:r>
    </w:p>
    <w:p w:rsidR="00000000" w:rsidDel="00000000" w:rsidP="00000000" w:rsidRDefault="00000000" w:rsidRPr="00000000" w14:paraId="0000005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Dengan Hormat, Pejabat Negara - JANGAN MENARIK PAJAK SEPERTI BERBURU DI KEBUN BINATANG - CELIOS, </w:t>
      </w:r>
      <w:hyperlink r:id="rId13">
        <w:r w:rsidDel="00000000" w:rsidR="00000000" w:rsidRPr="00000000">
          <w:rPr>
            <w:rFonts w:ascii="Google Sans" w:cs="Google Sans" w:eastAsia="Google Sans" w:hAnsi="Google Sans"/>
            <w:color w:val="0000ee"/>
            <w:sz w:val="24"/>
            <w:szCs w:val="24"/>
            <w:u w:val="single"/>
            <w:rtl w:val="0"/>
          </w:rPr>
          <w:t xml:space="preserve">https://celios.co.id/wp-content/uploads/2025/08/CELIOS-Dengan-Hormat-Pejabat-Negara-Jangan-Menarik-Pajak-Seperti-Berburu-di-Kebun-Binatang_2025_.pdf</w:t>
        </w:r>
      </w:hyperlink>
      <w:r w:rsidDel="00000000" w:rsidR="00000000" w:rsidRPr="00000000">
        <w:rPr>
          <w:rtl w:val="0"/>
        </w:rPr>
      </w:r>
    </w:p>
    <w:p w:rsidR="00000000" w:rsidDel="00000000" w:rsidP="00000000" w:rsidRDefault="00000000" w:rsidRPr="00000000" w14:paraId="0000005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Ditjen Pajak Targetkan Tax Ratio 15% PDB dengan Coretax Mulai Juli 2026 - IndoPremier, </w:t>
      </w:r>
      <w:hyperlink r:id="rId14">
        <w:r w:rsidDel="00000000" w:rsidR="00000000" w:rsidRPr="00000000">
          <w:rPr>
            <w:rFonts w:ascii="Google Sans" w:cs="Google Sans" w:eastAsia="Google Sans" w:hAnsi="Google Sans"/>
            <w:color w:val="0000ee"/>
            <w:sz w:val="24"/>
            <w:szCs w:val="24"/>
            <w:u w:val="single"/>
            <w:rtl w:val="0"/>
          </w:rPr>
          <w:t xml:space="preserve">https://www.indopremier.com/ipotnews/newsDetail.php?jdl=Ditjen_Pajak_Targetkan_Tax_Ratio_15__PDB_dengan_Coretax_Mulai_Juli_2026&amp;news_id=225012&amp;group_news=IPOTNEWS&amp;taging_subtype=MACROREVIEW&amp;name=&amp;search=y_general&amp;q=RPJMN%202025-2029,%20target%20fiskal,%20ekonomi%20informal,%20AI,%20AI%20News&amp;halaman=1</w:t>
        </w:r>
      </w:hyperlink>
      <w:r w:rsidDel="00000000" w:rsidR="00000000" w:rsidRPr="00000000">
        <w:rPr>
          <w:rtl w:val="0"/>
        </w:rPr>
      </w:r>
    </w:p>
    <w:p w:rsidR="00000000" w:rsidDel="00000000" w:rsidP="00000000" w:rsidRDefault="00000000" w:rsidRPr="00000000" w14:paraId="0000005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Kajian sistem pengelolaan penerimaan negara bukan pajak (PNBP) mineral dan batubara (KPK, 2013) - Auriga Nusantara, </w:t>
      </w:r>
      <w:hyperlink r:id="rId15">
        <w:r w:rsidDel="00000000" w:rsidR="00000000" w:rsidRPr="00000000">
          <w:rPr>
            <w:rFonts w:ascii="Google Sans" w:cs="Google Sans" w:eastAsia="Google Sans" w:hAnsi="Google Sans"/>
            <w:color w:val="0000ee"/>
            <w:sz w:val="24"/>
            <w:szCs w:val="24"/>
            <w:u w:val="single"/>
            <w:rtl w:val="0"/>
          </w:rPr>
          <w:t xml:space="preserve">https://auriga.or.id/related/previewPDF/en/related/22/7_kpk_2013_kajian_pnbp_minerba_narasi_en.pdf</w:t>
        </w:r>
      </w:hyperlink>
      <w:r w:rsidDel="00000000" w:rsidR="00000000" w:rsidRPr="00000000">
        <w:rPr>
          <w:rtl w:val="0"/>
        </w:rPr>
      </w:r>
    </w:p>
    <w:p w:rsidR="00000000" w:rsidDel="00000000" w:rsidP="00000000" w:rsidRDefault="00000000" w:rsidRPr="00000000" w14:paraId="0000005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KPK: Awasi Pelanggaran Pajak Sektor Sumber Daya Alam - DDTC News, </w:t>
      </w:r>
      <w:hyperlink r:id="rId16">
        <w:r w:rsidDel="00000000" w:rsidR="00000000" w:rsidRPr="00000000">
          <w:rPr>
            <w:rFonts w:ascii="Google Sans" w:cs="Google Sans" w:eastAsia="Google Sans" w:hAnsi="Google Sans"/>
            <w:color w:val="0000ee"/>
            <w:sz w:val="24"/>
            <w:szCs w:val="24"/>
            <w:u w:val="single"/>
            <w:rtl w:val="0"/>
          </w:rPr>
          <w:t xml:space="preserve">https://news.ddtc.co.id/berita/nasional/16570/kpk-awasi-pelanggaran-pajak-sektor-sumber-daya-alam</w:t>
        </w:r>
      </w:hyperlink>
      <w:r w:rsidDel="00000000" w:rsidR="00000000" w:rsidRPr="00000000">
        <w:rPr>
          <w:rtl w:val="0"/>
        </w:rPr>
      </w:r>
    </w:p>
    <w:p w:rsidR="00000000" w:rsidDel="00000000" w:rsidP="00000000" w:rsidRDefault="00000000" w:rsidRPr="00000000" w14:paraId="0000005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Kemenkeu Pakai AI Telusuri Dugaan Transfer Pricing Ekspor Sawit - IKPI, </w:t>
      </w:r>
      <w:hyperlink r:id="rId17">
        <w:r w:rsidDel="00000000" w:rsidR="00000000" w:rsidRPr="00000000">
          <w:rPr>
            <w:rFonts w:ascii="Google Sans" w:cs="Google Sans" w:eastAsia="Google Sans" w:hAnsi="Google Sans"/>
            <w:color w:val="0000ee"/>
            <w:sz w:val="24"/>
            <w:szCs w:val="24"/>
            <w:u w:val="single"/>
            <w:rtl w:val="0"/>
          </w:rPr>
          <w:t xml:space="preserve">https://ikpi.or.id/kemenkeu-pakai-ai-telusuri-dugaan-transfer-pricing-ekspor-sawit/</w:t>
        </w:r>
      </w:hyperlink>
      <w:r w:rsidDel="00000000" w:rsidR="00000000" w:rsidRPr="00000000">
        <w:rPr>
          <w:rtl w:val="0"/>
        </w:rPr>
      </w:r>
    </w:p>
    <w:p w:rsidR="00000000" w:rsidDel="00000000" w:rsidP="00000000" w:rsidRDefault="00000000" w:rsidRPr="00000000" w14:paraId="0000005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Kemenkeu Usut Dugaan Manipulasi Transfer Pricing Ekspor CPO - DDTC News, </w:t>
      </w:r>
      <w:hyperlink r:id="rId18">
        <w:r w:rsidDel="00000000" w:rsidR="00000000" w:rsidRPr="00000000">
          <w:rPr>
            <w:rFonts w:ascii="Google Sans" w:cs="Google Sans" w:eastAsia="Google Sans" w:hAnsi="Google Sans"/>
            <w:color w:val="0000ee"/>
            <w:sz w:val="24"/>
            <w:szCs w:val="24"/>
            <w:u w:val="single"/>
            <w:rtl w:val="0"/>
          </w:rPr>
          <w:t xml:space="preserve">https://news.ddtc.co.id/berita/nasional/1819715/kemenkeu-usut-dugaan-manipulasi-transfer-pricing-ekspor-cpo</w:t>
        </w:r>
      </w:hyperlink>
      <w:r w:rsidDel="00000000" w:rsidR="00000000" w:rsidRPr="00000000">
        <w:rPr>
          <w:rtl w:val="0"/>
        </w:rPr>
      </w:r>
    </w:p>
    <w:p w:rsidR="00000000" w:rsidDel="00000000" w:rsidP="00000000" w:rsidRDefault="00000000" w:rsidRPr="00000000" w14:paraId="0000005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Modus Kencing di Laut Under Invoicing Ekspor SDA RI Ternyata Begini - CNBC Indonesia, </w:t>
      </w:r>
      <w:hyperlink r:id="rId19">
        <w:r w:rsidDel="00000000" w:rsidR="00000000" w:rsidRPr="00000000">
          <w:rPr>
            <w:rFonts w:ascii="Google Sans" w:cs="Google Sans" w:eastAsia="Google Sans" w:hAnsi="Google Sans"/>
            <w:color w:val="0000ee"/>
            <w:sz w:val="24"/>
            <w:szCs w:val="24"/>
            <w:u w:val="single"/>
            <w:rtl w:val="0"/>
          </w:rPr>
          <w:t xml:space="preserve">https://www.cnbcindonesia.com/news/20260526123718-4-738091/modus-kencing-di-laut-under-invoicing-ekspor-sda-ri-ternyata-begini</w:t>
        </w:r>
      </w:hyperlink>
      <w:r w:rsidDel="00000000" w:rsidR="00000000" w:rsidRPr="00000000">
        <w:rPr>
          <w:rtl w:val="0"/>
        </w:rPr>
      </w:r>
    </w:p>
    <w:p w:rsidR="00000000" w:rsidDel="00000000" w:rsidP="00000000" w:rsidRDefault="00000000" w:rsidRPr="00000000" w14:paraId="0000006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Purbaya Temukan Indikasi Under Invoicing saat Sidak Pelabuhan, Importir Perlu Pahami Hal Ini - Pajakku, </w:t>
      </w:r>
      <w:hyperlink r:id="rId20">
        <w:r w:rsidDel="00000000" w:rsidR="00000000" w:rsidRPr="00000000">
          <w:rPr>
            <w:rFonts w:ascii="Google Sans" w:cs="Google Sans" w:eastAsia="Google Sans" w:hAnsi="Google Sans"/>
            <w:color w:val="0000ee"/>
            <w:sz w:val="24"/>
            <w:szCs w:val="24"/>
            <w:u w:val="single"/>
            <w:rtl w:val="0"/>
          </w:rPr>
          <w:t xml:space="preserve">https://pajakku.com/artikel/purbaya-temukan-indikasi-under-invoicing-saat-sidak-pelabuhan-importir-perlu-pahami-hal-ini</w:t>
        </w:r>
      </w:hyperlink>
      <w:r w:rsidDel="00000000" w:rsidR="00000000" w:rsidRPr="00000000">
        <w:rPr>
          <w:rtl w:val="0"/>
        </w:rPr>
      </w:r>
    </w:p>
    <w:p w:rsidR="00000000" w:rsidDel="00000000" w:rsidP="00000000" w:rsidRDefault="00000000" w:rsidRPr="00000000" w14:paraId="0000006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Purbaya Hitung Rokok Ilegal Bikin Negara Rugi Rp60 T Setahun - CNBC Indonesia, </w:t>
      </w:r>
      <w:hyperlink r:id="rId21">
        <w:r w:rsidDel="00000000" w:rsidR="00000000" w:rsidRPr="00000000">
          <w:rPr>
            <w:rFonts w:ascii="Google Sans" w:cs="Google Sans" w:eastAsia="Google Sans" w:hAnsi="Google Sans"/>
            <w:color w:val="0000ee"/>
            <w:sz w:val="24"/>
            <w:szCs w:val="24"/>
            <w:u w:val="single"/>
            <w:rtl w:val="0"/>
          </w:rPr>
          <w:t xml:space="preserve">https://www.cnbcindonesia.com/news/20260421173825-4-728649/purbaya-hitung-rokok-ilegal-bikin-negara-rugi-rp60-t-setahun</w:t>
        </w:r>
      </w:hyperlink>
      <w:r w:rsidDel="00000000" w:rsidR="00000000" w:rsidRPr="00000000">
        <w:rPr>
          <w:rtl w:val="0"/>
        </w:rPr>
      </w:r>
    </w:p>
    <w:p w:rsidR="00000000" w:rsidDel="00000000" w:rsidP="00000000" w:rsidRDefault="00000000" w:rsidRPr="00000000" w14:paraId="0000006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Bea Cukai gagalkan peredaran 8,9 juta batang rokok ilegal - ANTARA News, </w:t>
      </w:r>
      <w:hyperlink r:id="rId22">
        <w:r w:rsidDel="00000000" w:rsidR="00000000" w:rsidRPr="00000000">
          <w:rPr>
            <w:rFonts w:ascii="Google Sans" w:cs="Google Sans" w:eastAsia="Google Sans" w:hAnsi="Google Sans"/>
            <w:color w:val="0000ee"/>
            <w:sz w:val="24"/>
            <w:szCs w:val="24"/>
            <w:u w:val="single"/>
            <w:rtl w:val="0"/>
          </w:rPr>
          <w:t xml:space="preserve">https://www.antaranews.com/berita/5600956/bea-cukai-gagalkan-peredaran-89-juta-batang-rokok-ilegal</w:t>
        </w:r>
      </w:hyperlink>
      <w:r w:rsidDel="00000000" w:rsidR="00000000" w:rsidRPr="00000000">
        <w:rPr>
          <w:rtl w:val="0"/>
        </w:rPr>
      </w:r>
    </w:p>
    <w:p w:rsidR="00000000" w:rsidDel="00000000" w:rsidP="00000000" w:rsidRDefault="00000000" w:rsidRPr="00000000" w14:paraId="0000006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Bea Cukai Bongkar Peredaran 8,9 Juta Batang Rokok Tanpa Pita Cukai - IKPI, </w:t>
      </w:r>
      <w:hyperlink r:id="rId23">
        <w:r w:rsidDel="00000000" w:rsidR="00000000" w:rsidRPr="00000000">
          <w:rPr>
            <w:rFonts w:ascii="Google Sans" w:cs="Google Sans" w:eastAsia="Google Sans" w:hAnsi="Google Sans"/>
            <w:color w:val="0000ee"/>
            <w:sz w:val="24"/>
            <w:szCs w:val="24"/>
            <w:u w:val="single"/>
            <w:rtl w:val="0"/>
          </w:rPr>
          <w:t xml:space="preserve">https://ikpi.or.id/bea-cukai-bongkar-peredaran-89-juta-batang-rokok-tanpa-pita-cukai/</w:t>
        </w:r>
      </w:hyperlink>
      <w:r w:rsidDel="00000000" w:rsidR="00000000" w:rsidRPr="00000000">
        <w:rPr>
          <w:rtl w:val="0"/>
        </w:rPr>
      </w:r>
    </w:p>
    <w:p w:rsidR="00000000" w:rsidDel="00000000" w:rsidP="00000000" w:rsidRDefault="00000000" w:rsidRPr="00000000" w14:paraId="0000006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Estimasi Belanja Perpajakan 2025 Capai Rp515 Triliun: Mayoritas Untuk Rumah Tangga, </w:t>
      </w:r>
      <w:hyperlink r:id="rId24">
        <w:r w:rsidDel="00000000" w:rsidR="00000000" w:rsidRPr="00000000">
          <w:rPr>
            <w:rFonts w:ascii="Google Sans" w:cs="Google Sans" w:eastAsia="Google Sans" w:hAnsi="Google Sans"/>
            <w:color w:val="0000ee"/>
            <w:sz w:val="24"/>
            <w:szCs w:val="24"/>
            <w:u w:val="single"/>
            <w:rtl w:val="0"/>
          </w:rPr>
          <w:t xml:space="preserve">https://mediakeuangan.kemenkeu.go.id/article/show/estimasi-belanja-perpajakan-2025-capai-rp515-triliun-mayoritas-untuk-rumah-tangga</w:t>
        </w:r>
      </w:hyperlink>
      <w:r w:rsidDel="00000000" w:rsidR="00000000" w:rsidRPr="00000000">
        <w:rPr>
          <w:rtl w:val="0"/>
        </w:rPr>
      </w:r>
    </w:p>
    <w:p w:rsidR="00000000" w:rsidDel="00000000" w:rsidP="00000000" w:rsidRDefault="00000000" w:rsidRPr="00000000" w14:paraId="0000006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Mengenal Tax Expenditure: Belanja Perpajakan yang Menguntungkan Wajib Pajak, </w:t>
      </w:r>
      <w:hyperlink r:id="rId25">
        <w:r w:rsidDel="00000000" w:rsidR="00000000" w:rsidRPr="00000000">
          <w:rPr>
            <w:rFonts w:ascii="Google Sans" w:cs="Google Sans" w:eastAsia="Google Sans" w:hAnsi="Google Sans"/>
            <w:color w:val="0000ee"/>
            <w:sz w:val="24"/>
            <w:szCs w:val="24"/>
            <w:u w:val="single"/>
            <w:rtl w:val="0"/>
          </w:rPr>
          <w:t xml:space="preserve">https://pajak.go.id/id/artikel/mengenal-tax-expenditure-belanja-perpajakan-yang-menguntungkan-wajib-pajak</w:t>
        </w:r>
      </w:hyperlink>
      <w:r w:rsidDel="00000000" w:rsidR="00000000" w:rsidRPr="00000000">
        <w:rPr>
          <w:rtl w:val="0"/>
        </w:rPr>
      </w:r>
    </w:p>
    <w:p w:rsidR="00000000" w:rsidDel="00000000" w:rsidP="00000000" w:rsidRDefault="00000000" w:rsidRPr="00000000" w14:paraId="0000006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Perkembangan Belanja Perpajakan Indonesia - MUCTRI, </w:t>
      </w:r>
      <w:hyperlink r:id="rId26">
        <w:r w:rsidDel="00000000" w:rsidR="00000000" w:rsidRPr="00000000">
          <w:rPr>
            <w:rFonts w:ascii="Google Sans" w:cs="Google Sans" w:eastAsia="Google Sans" w:hAnsi="Google Sans"/>
            <w:color w:val="0000ee"/>
            <w:sz w:val="24"/>
            <w:szCs w:val="24"/>
            <w:u w:val="single"/>
            <w:rtl w:val="0"/>
          </w:rPr>
          <w:t xml:space="preserve">https://muctri.org/data-dan-graphic/perkembangan-belanja-perpajakan-indonesia-1</w:t>
        </w:r>
      </w:hyperlink>
      <w:r w:rsidDel="00000000" w:rsidR="00000000" w:rsidRPr="00000000">
        <w:rPr>
          <w:rtl w:val="0"/>
        </w:rPr>
      </w:r>
    </w:p>
    <w:p w:rsidR="00000000" w:rsidDel="00000000" w:rsidP="00000000" w:rsidRDefault="00000000" w:rsidRPr="00000000" w14:paraId="0000006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Naik 11%, Belanja Perpajakan 2024 Capai Rp400,1 Triliun - Ortax, </w:t>
      </w:r>
      <w:hyperlink r:id="rId27">
        <w:r w:rsidDel="00000000" w:rsidR="00000000" w:rsidRPr="00000000">
          <w:rPr>
            <w:rFonts w:ascii="Google Sans" w:cs="Google Sans" w:eastAsia="Google Sans" w:hAnsi="Google Sans"/>
            <w:color w:val="0000ee"/>
            <w:sz w:val="24"/>
            <w:szCs w:val="24"/>
            <w:u w:val="single"/>
            <w:rtl w:val="0"/>
          </w:rPr>
          <w:t xml:space="preserve">https://ortax.org/naik-11-persen-belanja-perpajakan-2024-capai-rp-400-koma-1-triliun</w:t>
        </w:r>
      </w:hyperlink>
      <w:r w:rsidDel="00000000" w:rsidR="00000000" w:rsidRPr="00000000">
        <w:rPr>
          <w:rtl w:val="0"/>
        </w:rPr>
      </w:r>
    </w:p>
    <w:p w:rsidR="00000000" w:rsidDel="00000000" w:rsidP="00000000" w:rsidRDefault="00000000" w:rsidRPr="00000000" w14:paraId="0000006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Tax Expenditure Report - Direktorat Jenderal Strategi Ekonomi dan Fiskal, </w:t>
      </w:r>
      <w:hyperlink r:id="rId28">
        <w:r w:rsidDel="00000000" w:rsidR="00000000" w:rsidRPr="00000000">
          <w:rPr>
            <w:rFonts w:ascii="Google Sans" w:cs="Google Sans" w:eastAsia="Google Sans" w:hAnsi="Google Sans"/>
            <w:color w:val="0000ee"/>
            <w:sz w:val="24"/>
            <w:szCs w:val="24"/>
            <w:u w:val="single"/>
            <w:rtl w:val="0"/>
          </w:rPr>
          <w:t xml:space="preserve">https://fiskal.kemenkeu.go.id/publikasi/tax-expenditure-report</w:t>
        </w:r>
      </w:hyperlink>
      <w:r w:rsidDel="00000000" w:rsidR="00000000" w:rsidRPr="00000000">
        <w:rPr>
          <w:rtl w:val="0"/>
        </w:rPr>
      </w:r>
    </w:p>
    <w:p w:rsidR="00000000" w:rsidDel="00000000" w:rsidP="00000000" w:rsidRDefault="00000000" w:rsidRPr="00000000" w14:paraId="0000006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Kemenkeu Rilis Laporan Belanja Perpajakan 2024, Nilainya Rp400,1 T - DDTC News, </w:t>
      </w:r>
      <w:hyperlink r:id="rId29">
        <w:r w:rsidDel="00000000" w:rsidR="00000000" w:rsidRPr="00000000">
          <w:rPr>
            <w:rFonts w:ascii="Google Sans" w:cs="Google Sans" w:eastAsia="Google Sans" w:hAnsi="Google Sans"/>
            <w:color w:val="0000ee"/>
            <w:sz w:val="24"/>
            <w:szCs w:val="24"/>
            <w:u w:val="single"/>
            <w:rtl w:val="0"/>
          </w:rPr>
          <w:t xml:space="preserve">https://news.ddtc.co.id/berita/nasional/1816499/kemenkeu-rilis-laporan-belanja-perpajakan-2024-nilainya-rp4001-t</w:t>
        </w:r>
      </w:hyperlink>
      <w:r w:rsidDel="00000000" w:rsidR="00000000" w:rsidRPr="00000000">
        <w:rPr>
          <w:rtl w:val="0"/>
        </w:rPr>
      </w:r>
    </w:p>
    <w:p w:rsidR="00000000" w:rsidDel="00000000" w:rsidP="00000000" w:rsidRDefault="00000000" w:rsidRPr="00000000" w14:paraId="0000006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BKPM Saran Tax Holiday Tetap Diberikan ke Smelter Nikel Lokal - Bloomberg Technoz, </w:t>
      </w:r>
      <w:hyperlink r:id="rId30">
        <w:r w:rsidDel="00000000" w:rsidR="00000000" w:rsidRPr="00000000">
          <w:rPr>
            <w:rFonts w:ascii="Google Sans" w:cs="Google Sans" w:eastAsia="Google Sans" w:hAnsi="Google Sans"/>
            <w:color w:val="0000ee"/>
            <w:sz w:val="24"/>
            <w:szCs w:val="24"/>
            <w:u w:val="single"/>
            <w:rtl w:val="0"/>
          </w:rPr>
          <w:t xml:space="preserve">https://www.bloombergtechnoz.com/detail-news/110828/bkpm-saran-tax-holiday-tetap-diberikan-ke-smelter-nikel-lokal</w:t>
        </w:r>
      </w:hyperlink>
      <w:r w:rsidDel="00000000" w:rsidR="00000000" w:rsidRPr="00000000">
        <w:rPr>
          <w:rtl w:val="0"/>
        </w:rPr>
      </w:r>
    </w:p>
    <w:p w:rsidR="00000000" w:rsidDel="00000000" w:rsidP="00000000" w:rsidRDefault="00000000" w:rsidRPr="00000000" w14:paraId="0000006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ICW: RI Rugi Rp279 T Imbas Korupsi 2024, Pemulihan Aset Baru Rp28 M - CNN Indonesia, </w:t>
      </w:r>
      <w:hyperlink r:id="rId31">
        <w:r w:rsidDel="00000000" w:rsidR="00000000" w:rsidRPr="00000000">
          <w:rPr>
            <w:rFonts w:ascii="Google Sans" w:cs="Google Sans" w:eastAsia="Google Sans" w:hAnsi="Google Sans"/>
            <w:color w:val="0000ee"/>
            <w:sz w:val="24"/>
            <w:szCs w:val="24"/>
            <w:u w:val="single"/>
            <w:rtl w:val="0"/>
          </w:rPr>
          <w:t xml:space="preserve">https://www.cnnindonesia.com/nasional/20251001062637-12-1279528/icw-ri-rugi-rp279-t-imbas-korupsi-2024-pemulihan-aset-baru-rp28-m</w:t>
        </w:r>
      </w:hyperlink>
      <w:r w:rsidDel="00000000" w:rsidR="00000000" w:rsidRPr="00000000">
        <w:rPr>
          <w:rtl w:val="0"/>
        </w:rPr>
      </w:r>
    </w:p>
    <w:p w:rsidR="00000000" w:rsidDel="00000000" w:rsidP="00000000" w:rsidRDefault="00000000" w:rsidRPr="00000000" w14:paraId="0000006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ICW: Negara Berpotensi Rugi Rp279 T Akibat Korupsi 2024 - GoodStats Data, </w:t>
      </w:r>
      <w:hyperlink r:id="rId32">
        <w:r w:rsidDel="00000000" w:rsidR="00000000" w:rsidRPr="00000000">
          <w:rPr>
            <w:rFonts w:ascii="Google Sans" w:cs="Google Sans" w:eastAsia="Google Sans" w:hAnsi="Google Sans"/>
            <w:color w:val="0000ee"/>
            <w:sz w:val="24"/>
            <w:szCs w:val="24"/>
            <w:u w:val="single"/>
            <w:rtl w:val="0"/>
          </w:rPr>
          <w:t xml:space="preserve">https://data.goodstats.id/statistic/icw-negara-berpotensi-rugi-rp279-t-akibat-korupsi-2024-MKJO3</w:t>
        </w:r>
      </w:hyperlink>
      <w:r w:rsidDel="00000000" w:rsidR="00000000" w:rsidRPr="00000000">
        <w:rPr>
          <w:rtl w:val="0"/>
        </w:rPr>
      </w:r>
    </w:p>
    <w:p w:rsidR="00000000" w:rsidDel="00000000" w:rsidP="00000000" w:rsidRDefault="00000000" w:rsidRPr="00000000" w14:paraId="0000006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Pajak Kekayaan, Obat atau Racun? - Ikatan Konsultan Pajak Indonesia, </w:t>
      </w:r>
      <w:hyperlink r:id="rId33">
        <w:r w:rsidDel="00000000" w:rsidR="00000000" w:rsidRPr="00000000">
          <w:rPr>
            <w:rFonts w:ascii="Google Sans" w:cs="Google Sans" w:eastAsia="Google Sans" w:hAnsi="Google Sans"/>
            <w:color w:val="0000ee"/>
            <w:sz w:val="24"/>
            <w:szCs w:val="24"/>
            <w:u w:val="single"/>
            <w:rtl w:val="0"/>
          </w:rPr>
          <w:t xml:space="preserve">https://ikpi.or.id/pajak-kekayaan-obat-atau-racun/</w:t>
        </w:r>
      </w:hyperlink>
      <w:r w:rsidDel="00000000" w:rsidR="00000000" w:rsidRPr="00000000">
        <w:rPr>
          <w:rtl w:val="0"/>
        </w:rPr>
      </w:r>
    </w:p>
    <w:p w:rsidR="00000000" w:rsidDel="00000000" w:rsidP="00000000" w:rsidRDefault="00000000" w:rsidRPr="00000000" w14:paraId="0000006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Potensi Pajak Orang Super Kaya di RI Bisa Tembus Rp142 Triliun - Suryani Suyanto &amp; Associates, </w:t>
      </w:r>
      <w:hyperlink r:id="rId34">
        <w:r w:rsidDel="00000000" w:rsidR="00000000" w:rsidRPr="00000000">
          <w:rPr>
            <w:rFonts w:ascii="Google Sans" w:cs="Google Sans" w:eastAsia="Google Sans" w:hAnsi="Google Sans"/>
            <w:color w:val="0000ee"/>
            <w:sz w:val="24"/>
            <w:szCs w:val="24"/>
            <w:u w:val="single"/>
            <w:rtl w:val="0"/>
          </w:rPr>
          <w:t xml:space="preserve">https://www.ssas.co.id/potensi-pajak-orang-super-kaya-di-ri-bisa-tembus-rp142-triliun/</w:t>
        </w:r>
      </w:hyperlink>
      <w:r w:rsidDel="00000000" w:rsidR="00000000" w:rsidRPr="00000000">
        <w:rPr>
          <w:rtl w:val="0"/>
        </w:rPr>
      </w:r>
    </w:p>
    <w:p w:rsidR="00000000" w:rsidDel="00000000" w:rsidP="00000000" w:rsidRDefault="00000000" w:rsidRPr="00000000" w14:paraId="0000006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Tale of Two Rates: Return on Capital, Economic Growth, and Wealth Concentration in the Long Run - Taylor &amp; Francis, </w:t>
      </w:r>
      <w:hyperlink r:id="rId35">
        <w:r w:rsidDel="00000000" w:rsidR="00000000" w:rsidRPr="00000000">
          <w:rPr>
            <w:rFonts w:ascii="Google Sans" w:cs="Google Sans" w:eastAsia="Google Sans" w:hAnsi="Google Sans"/>
            <w:color w:val="0000ee"/>
            <w:sz w:val="24"/>
            <w:szCs w:val="24"/>
            <w:u w:val="single"/>
            <w:rtl w:val="0"/>
          </w:rPr>
          <w:t xml:space="preserve">https://www.tandfonline.com/doi/full/10.1080/09538259.2025.2492268</w:t>
        </w:r>
      </w:hyperlink>
      <w:r w:rsidDel="00000000" w:rsidR="00000000" w:rsidRPr="00000000">
        <w:rPr>
          <w:rtl w:val="0"/>
        </w:rPr>
      </w:r>
    </w:p>
    <w:p w:rsidR="00000000" w:rsidDel="00000000" w:rsidP="00000000" w:rsidRDefault="00000000" w:rsidRPr="00000000" w14:paraId="0000007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Apa Itu Pajak High Wealth Individual (HWI)? - Pajakku, </w:t>
      </w:r>
      <w:hyperlink r:id="rId36">
        <w:r w:rsidDel="00000000" w:rsidR="00000000" w:rsidRPr="00000000">
          <w:rPr>
            <w:rFonts w:ascii="Google Sans" w:cs="Google Sans" w:eastAsia="Google Sans" w:hAnsi="Google Sans"/>
            <w:color w:val="0000ee"/>
            <w:sz w:val="24"/>
            <w:szCs w:val="24"/>
            <w:u w:val="single"/>
            <w:rtl w:val="0"/>
          </w:rPr>
          <w:t xml:space="preserve">https://pajakku.com/artikel/apa-itu-pajak-high-wealth-individual-hwi</w:t>
        </w:r>
      </w:hyperlink>
      <w:r w:rsidDel="00000000" w:rsidR="00000000" w:rsidRPr="00000000">
        <w:rPr>
          <w:rtl w:val="0"/>
        </w:rPr>
      </w:r>
    </w:p>
    <w:p w:rsidR="00000000" w:rsidDel="00000000" w:rsidP="00000000" w:rsidRDefault="00000000" w:rsidRPr="00000000" w14:paraId="0000007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analisis pengaruh investable assets terhadap penghasilan dalam rangka penggalian potensi pajak high wealth individual di indonesia, </w:t>
      </w:r>
      <w:hyperlink r:id="rId37">
        <w:r w:rsidDel="00000000" w:rsidR="00000000" w:rsidRPr="00000000">
          <w:rPr>
            <w:rFonts w:ascii="Google Sans" w:cs="Google Sans" w:eastAsia="Google Sans" w:hAnsi="Google Sans"/>
            <w:color w:val="0000ee"/>
            <w:sz w:val="24"/>
            <w:szCs w:val="24"/>
            <w:u w:val="single"/>
            <w:rtl w:val="0"/>
          </w:rPr>
          <w:t xml:space="preserve">https://ejurnal.pajak.go.id/st/article/download/115/66/1314</w:t>
        </w:r>
      </w:hyperlink>
      <w:r w:rsidDel="00000000" w:rsidR="00000000" w:rsidRPr="00000000">
        <w:rPr>
          <w:rtl w:val="0"/>
        </w:rPr>
      </w:r>
    </w:p>
    <w:p w:rsidR="00000000" w:rsidDel="00000000" w:rsidP="00000000" w:rsidRDefault="00000000" w:rsidRPr="00000000" w14:paraId="0000007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Rethinking capital and wealth taxation - Thomas Piketty, </w:t>
      </w:r>
      <w:hyperlink r:id="rId38">
        <w:r w:rsidDel="00000000" w:rsidR="00000000" w:rsidRPr="00000000">
          <w:rPr>
            <w:rFonts w:ascii="Google Sans" w:cs="Google Sans" w:eastAsia="Google Sans" w:hAnsi="Google Sans"/>
            <w:color w:val="0000ee"/>
            <w:sz w:val="24"/>
            <w:szCs w:val="24"/>
            <w:u w:val="single"/>
            <w:rtl w:val="0"/>
          </w:rPr>
          <w:t xml:space="preserve">http://piketty.pse.ens.fr/files/PikettySaezZucman2023RKT.pdf</w:t>
        </w:r>
      </w:hyperlink>
      <w:r w:rsidDel="00000000" w:rsidR="00000000" w:rsidRPr="00000000">
        <w:rPr>
          <w:rtl w:val="0"/>
        </w:rPr>
      </w:r>
    </w:p>
    <w:p w:rsidR="00000000" w:rsidDel="00000000" w:rsidP="00000000" w:rsidRDefault="00000000" w:rsidRPr="00000000" w14:paraId="0000007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Penerapan Pajak Kekayaan di Indonesia: Potensi dan Peluang - The PRAKARSA, </w:t>
      </w:r>
      <w:hyperlink r:id="rId39">
        <w:r w:rsidDel="00000000" w:rsidR="00000000" w:rsidRPr="00000000">
          <w:rPr>
            <w:rFonts w:ascii="Google Sans" w:cs="Google Sans" w:eastAsia="Google Sans" w:hAnsi="Google Sans"/>
            <w:color w:val="0000ee"/>
            <w:sz w:val="24"/>
            <w:szCs w:val="24"/>
            <w:u w:val="single"/>
            <w:rtl w:val="0"/>
          </w:rPr>
          <w:t xml:space="preserve">https://theprakarsa.org/penerapan-pajak-kekayaan-di-indonesia-potensi-dan-peluang/</w:t>
        </w:r>
      </w:hyperlink>
      <w:r w:rsidDel="00000000" w:rsidR="00000000" w:rsidRPr="00000000">
        <w:rPr>
          <w:rtl w:val="0"/>
        </w:rPr>
      </w:r>
    </w:p>
    <w:p w:rsidR="00000000" w:rsidDel="00000000" w:rsidP="00000000" w:rsidRDefault="00000000" w:rsidRPr="00000000" w14:paraId="0000007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CELIOS Dorong Wealth Tax 2 Persen, Potensi Rp81 Triliun dari 50 Crazy Rich - IKPI, </w:t>
      </w:r>
      <w:hyperlink r:id="rId40">
        <w:r w:rsidDel="00000000" w:rsidR="00000000" w:rsidRPr="00000000">
          <w:rPr>
            <w:rFonts w:ascii="Google Sans" w:cs="Google Sans" w:eastAsia="Google Sans" w:hAnsi="Google Sans"/>
            <w:color w:val="0000ee"/>
            <w:sz w:val="24"/>
            <w:szCs w:val="24"/>
            <w:u w:val="single"/>
            <w:rtl w:val="0"/>
          </w:rPr>
          <w:t xml:space="preserve">https://ikpi.or.id/celios-dorong-wealth-tax-2-persen-potensi-rp81-triliun-dari-50-crazy-rich/</w:t>
        </w:r>
      </w:hyperlink>
      <w:r w:rsidDel="00000000" w:rsidR="00000000" w:rsidRPr="00000000">
        <w:rPr>
          <w:rtl w:val="0"/>
        </w:rPr>
      </w:r>
    </w:p>
    <w:p w:rsidR="00000000" w:rsidDel="00000000" w:rsidP="00000000" w:rsidRDefault="00000000" w:rsidRPr="00000000" w14:paraId="0000007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wealth tax.pdf - Department of Economics - University of Zurich, </w:t>
      </w:r>
      <w:hyperlink r:id="rId41">
        <w:r w:rsidDel="00000000" w:rsidR="00000000" w:rsidRPr="00000000">
          <w:rPr>
            <w:rFonts w:ascii="Google Sans" w:cs="Google Sans" w:eastAsia="Google Sans" w:hAnsi="Google Sans"/>
            <w:color w:val="0000ee"/>
            <w:sz w:val="24"/>
            <w:szCs w:val="24"/>
            <w:u w:val="single"/>
            <w:rtl w:val="0"/>
          </w:rPr>
          <w:t xml:space="preserve">https://www.econ.uzh.ch/dam/jcr:432c4c17-c113-4bf6-97dc-33818e30d45b/wealth%20tax.pdf</w:t>
        </w:r>
      </w:hyperlink>
      <w:r w:rsidDel="00000000" w:rsidR="00000000" w:rsidRPr="00000000">
        <w:rPr>
          <w:rtl w:val="0"/>
        </w:rPr>
      </w:r>
    </w:p>
    <w:p w:rsidR="00000000" w:rsidDel="00000000" w:rsidP="00000000" w:rsidRDefault="00000000" w:rsidRPr="00000000" w14:paraId="0000007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Indonesia Sambut Era Keterbukaan Informasi Perpajakan - MUC Consulting, </w:t>
      </w:r>
      <w:hyperlink r:id="rId42">
        <w:r w:rsidDel="00000000" w:rsidR="00000000" w:rsidRPr="00000000">
          <w:rPr>
            <w:rFonts w:ascii="Google Sans" w:cs="Google Sans" w:eastAsia="Google Sans" w:hAnsi="Google Sans"/>
            <w:color w:val="0000ee"/>
            <w:sz w:val="24"/>
            <w:szCs w:val="24"/>
            <w:u w:val="single"/>
            <w:rtl w:val="0"/>
          </w:rPr>
          <w:t xml:space="preserve">https://muc.co.id/id/article/indonesia-sambut-era-keterbukaan-informasi-perpajakan</w:t>
        </w:r>
      </w:hyperlink>
      <w:r w:rsidDel="00000000" w:rsidR="00000000" w:rsidRPr="00000000">
        <w:rPr>
          <w:rtl w:val="0"/>
        </w:rPr>
      </w:r>
    </w:p>
    <w:p w:rsidR="00000000" w:rsidDel="00000000" w:rsidP="00000000" w:rsidRDefault="00000000" w:rsidRPr="00000000" w14:paraId="0000007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automatic exchange of information (aeoi) dan penghindaran pajak - ResearchGate, </w:t>
      </w:r>
      <w:hyperlink r:id="rId43">
        <w:r w:rsidDel="00000000" w:rsidR="00000000" w:rsidRPr="00000000">
          <w:rPr>
            <w:rFonts w:ascii="Google Sans" w:cs="Google Sans" w:eastAsia="Google Sans" w:hAnsi="Google Sans"/>
            <w:color w:val="0000ee"/>
            <w:sz w:val="24"/>
            <w:szCs w:val="24"/>
            <w:u w:val="single"/>
            <w:rtl w:val="0"/>
          </w:rPr>
          <w:t xml:space="preserve">https://www.researchgate.net/publication/341053494_AUTOMATIC_EXCHANGE_OF_INFORMATION_AEOI_DAN_PENGHINDARAN_PAJAK</w:t>
        </w:r>
      </w:hyperlink>
      <w:r w:rsidDel="00000000" w:rsidR="00000000" w:rsidRPr="00000000">
        <w:rPr>
          <w:rtl w:val="0"/>
        </w:rPr>
      </w:r>
    </w:p>
    <w:p w:rsidR="00000000" w:rsidDel="00000000" w:rsidP="00000000" w:rsidRDefault="00000000" w:rsidRPr="00000000" w14:paraId="0000007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Kinerja 2020-2024: KPK Kembalikan Kerugian Negara Senilai Rp2,5 Triliun, </w:t>
      </w:r>
      <w:hyperlink r:id="rId44">
        <w:r w:rsidDel="00000000" w:rsidR="00000000" w:rsidRPr="00000000">
          <w:rPr>
            <w:rFonts w:ascii="Google Sans" w:cs="Google Sans" w:eastAsia="Google Sans" w:hAnsi="Google Sans"/>
            <w:color w:val="0000ee"/>
            <w:sz w:val="24"/>
            <w:szCs w:val="24"/>
            <w:u w:val="single"/>
            <w:rtl w:val="0"/>
          </w:rPr>
          <w:t xml:space="preserve">https://kpk.go.id/id/ruang-informasi/berita/kinerja-2020-2024-kpk-kembalikan-kerugian-negara-senilai-rp25-triliun</w:t>
        </w:r>
      </w:hyperlink>
      <w:r w:rsidDel="00000000" w:rsidR="00000000" w:rsidRPr="00000000">
        <w:rPr>
          <w:rtl w:val="0"/>
        </w:rPr>
      </w:r>
    </w:p>
    <w:p w:rsidR="00000000" w:rsidDel="00000000" w:rsidP="00000000" w:rsidRDefault="00000000" w:rsidRPr="00000000" w14:paraId="0000007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Political Budget Cycle in Local Elections in Indonesia: A Systematic Review - PPISHK E-Journal System Portal, </w:t>
      </w:r>
      <w:hyperlink r:id="rId45">
        <w:r w:rsidDel="00000000" w:rsidR="00000000" w:rsidRPr="00000000">
          <w:rPr>
            <w:rFonts w:ascii="Google Sans" w:cs="Google Sans" w:eastAsia="Google Sans" w:hAnsi="Google Sans"/>
            <w:color w:val="0000ee"/>
            <w:sz w:val="24"/>
            <w:szCs w:val="24"/>
            <w:u w:val="single"/>
            <w:rtl w:val="0"/>
          </w:rPr>
          <w:t xml:space="preserve">https://www.journal.ppishk.org/index.php/jclp/article/download/713/166</w:t>
        </w:r>
      </w:hyperlink>
      <w:r w:rsidDel="00000000" w:rsidR="00000000" w:rsidRPr="00000000">
        <w:rPr>
          <w:rtl w:val="0"/>
        </w:rPr>
      </w:r>
    </w:p>
    <w:p w:rsidR="00000000" w:rsidDel="00000000" w:rsidP="00000000" w:rsidRDefault="00000000" w:rsidRPr="00000000" w14:paraId="0000007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Political budget cycles in Indonesia at the district level | Request PDF - ResearchGate, </w:t>
      </w:r>
      <w:hyperlink r:id="rId46">
        <w:r w:rsidDel="00000000" w:rsidR="00000000" w:rsidRPr="00000000">
          <w:rPr>
            <w:rFonts w:ascii="Google Sans" w:cs="Google Sans" w:eastAsia="Google Sans" w:hAnsi="Google Sans"/>
            <w:color w:val="0000ee"/>
            <w:sz w:val="24"/>
            <w:szCs w:val="24"/>
            <w:u w:val="single"/>
            <w:rtl w:val="0"/>
          </w:rPr>
          <w:t xml:space="preserve">https://www.researchgate.net/publication/256994893_Political_budget_cycles_in_Indonesia_at_the_district_level</w:t>
        </w:r>
      </w:hyperlink>
      <w:r w:rsidDel="00000000" w:rsidR="00000000" w:rsidRPr="00000000">
        <w:rPr>
          <w:rtl w:val="0"/>
        </w:rPr>
      </w:r>
    </w:p>
    <w:p w:rsidR="00000000" w:rsidDel="00000000" w:rsidP="00000000" w:rsidRDefault="00000000" w:rsidRPr="00000000" w14:paraId="0000007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Political Budget Cycle in Local Elections in Indonesia: A Systematic Review - ResearchGate, </w:t>
      </w:r>
      <w:hyperlink r:id="rId47">
        <w:r w:rsidDel="00000000" w:rsidR="00000000" w:rsidRPr="00000000">
          <w:rPr>
            <w:rFonts w:ascii="Google Sans" w:cs="Google Sans" w:eastAsia="Google Sans" w:hAnsi="Google Sans"/>
            <w:color w:val="0000ee"/>
            <w:sz w:val="24"/>
            <w:szCs w:val="24"/>
            <w:u w:val="single"/>
            <w:rtl w:val="0"/>
          </w:rPr>
          <w:t xml:space="preserve">https://www.researchgate.net/publication/393390577_Political_Budget_Cycle_in_Local_Elections_in_Indonesia_A_Systematic_Review</w:t>
        </w:r>
      </w:hyperlink>
      <w:r w:rsidDel="00000000" w:rsidR="00000000" w:rsidRPr="00000000">
        <w:rPr>
          <w:rtl w:val="0"/>
        </w:rPr>
      </w:r>
    </w:p>
    <w:p w:rsidR="00000000" w:rsidDel="00000000" w:rsidP="00000000" w:rsidRDefault="00000000" w:rsidRPr="00000000" w14:paraId="0000007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Political Budget Cycle on The Regional Elections in Indonesia - Jurnal UPI, </w:t>
      </w:r>
      <w:hyperlink r:id="rId48">
        <w:r w:rsidDel="00000000" w:rsidR="00000000" w:rsidRPr="00000000">
          <w:rPr>
            <w:rFonts w:ascii="Google Sans" w:cs="Google Sans" w:eastAsia="Google Sans" w:hAnsi="Google Sans"/>
            <w:color w:val="0000ee"/>
            <w:sz w:val="24"/>
            <w:szCs w:val="24"/>
            <w:u w:val="single"/>
            <w:rtl w:val="0"/>
          </w:rPr>
          <w:t xml:space="preserve">https://ejournal.upi.edu/index.php/aset/article/download/33879/15641</w:t>
        </w:r>
      </w:hyperlink>
      <w:r w:rsidDel="00000000" w:rsidR="00000000" w:rsidRPr="00000000">
        <w:rPr>
          <w:rtl w:val="0"/>
        </w:rPr>
      </w:r>
    </w:p>
    <w:p w:rsidR="00000000" w:rsidDel="00000000" w:rsidP="00000000" w:rsidRDefault="00000000" w:rsidRPr="00000000" w14:paraId="0000007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TVR 120 - DPR RI : PMN BUMN Sebesar Rp 44,24 Triliun Disetujui - YouTube, </w:t>
      </w:r>
      <w:hyperlink r:id="rId49">
        <w:r w:rsidDel="00000000" w:rsidR="00000000" w:rsidRPr="00000000">
          <w:rPr>
            <w:rFonts w:ascii="Google Sans" w:cs="Google Sans" w:eastAsia="Google Sans" w:hAnsi="Google Sans"/>
            <w:color w:val="0000ee"/>
            <w:sz w:val="24"/>
            <w:szCs w:val="24"/>
            <w:u w:val="single"/>
            <w:rtl w:val="0"/>
          </w:rPr>
          <w:t xml:space="preserve">https://www.youtube.com/watch?v=qvZijgO4Oa4</w:t>
        </w:r>
      </w:hyperlink>
      <w:r w:rsidDel="00000000" w:rsidR="00000000" w:rsidRPr="00000000">
        <w:rPr>
          <w:rtl w:val="0"/>
        </w:rPr>
      </w:r>
    </w:p>
    <w:p w:rsidR="00000000" w:rsidDel="00000000" w:rsidP="00000000" w:rsidRDefault="00000000" w:rsidRPr="00000000" w14:paraId="0000007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20 BUMN Dapat PMN Rp44,8 Triliun - PT INKA, </w:t>
      </w:r>
      <w:hyperlink r:id="rId50">
        <w:r w:rsidDel="00000000" w:rsidR="00000000" w:rsidRPr="00000000">
          <w:rPr>
            <w:rFonts w:ascii="Google Sans" w:cs="Google Sans" w:eastAsia="Google Sans" w:hAnsi="Google Sans"/>
            <w:color w:val="0000ee"/>
            <w:sz w:val="24"/>
            <w:szCs w:val="24"/>
            <w:u w:val="single"/>
            <w:rtl w:val="0"/>
          </w:rPr>
          <w:t xml:space="preserve">https://www.inka.co.id/artikel/20-bumn-dapat-pmn-rp448-triliun</w:t>
        </w:r>
      </w:hyperlink>
      <w:r w:rsidDel="00000000" w:rsidR="00000000" w:rsidRPr="00000000">
        <w:rPr>
          <w:rtl w:val="0"/>
        </w:rPr>
      </w:r>
    </w:p>
    <w:p w:rsidR="00000000" w:rsidDel="00000000" w:rsidP="00000000" w:rsidRDefault="00000000" w:rsidRPr="00000000" w14:paraId="0000007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Pemerintah Berikan PMN Rp38,5 Triliun Kepada 7 BUMN di Tahun 2022 - Website DJKN, </w:t>
      </w:r>
      <w:hyperlink r:id="rId51">
        <w:r w:rsidDel="00000000" w:rsidR="00000000" w:rsidRPr="00000000">
          <w:rPr>
            <w:rFonts w:ascii="Google Sans" w:cs="Google Sans" w:eastAsia="Google Sans" w:hAnsi="Google Sans"/>
            <w:color w:val="0000ee"/>
            <w:sz w:val="24"/>
            <w:szCs w:val="24"/>
            <w:u w:val="single"/>
            <w:rtl w:val="0"/>
          </w:rPr>
          <w:t xml:space="preserve">https://www.djkn.kemenkeu.go.id/berita/baca/26910/Pemerintah-Berikan-PMN-Rp385-Triliun-Kepada-7-BUMN-di-Tahun-2022.html</w:t>
        </w:r>
      </w:hyperlink>
      <w:r w:rsidDel="00000000" w:rsidR="00000000" w:rsidRPr="00000000">
        <w:rPr>
          <w:rtl w:val="0"/>
        </w:rPr>
      </w:r>
    </w:p>
    <w:p w:rsidR="00000000" w:rsidDel="00000000" w:rsidP="00000000" w:rsidRDefault="00000000" w:rsidRPr="00000000" w14:paraId="0000008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Rugi Waskita Karya (WSKT) Bengkak Menjadi Rp 3,92 Triliun di 2025 - Investasi Kontan, </w:t>
      </w:r>
      <w:hyperlink r:id="rId52">
        <w:r w:rsidDel="00000000" w:rsidR="00000000" w:rsidRPr="00000000">
          <w:rPr>
            <w:rFonts w:ascii="Google Sans" w:cs="Google Sans" w:eastAsia="Google Sans" w:hAnsi="Google Sans"/>
            <w:color w:val="0000ee"/>
            <w:sz w:val="24"/>
            <w:szCs w:val="24"/>
            <w:u w:val="single"/>
            <w:rtl w:val="0"/>
          </w:rPr>
          <w:t xml:space="preserve">https://investasi.kontan.co.id/news/rugi-waskita-karya-wskt-bengkak-menjadi-rp-392-triliun-di-2025</w:t>
        </w:r>
      </w:hyperlink>
      <w:r w:rsidDel="00000000" w:rsidR="00000000" w:rsidRPr="00000000">
        <w:rPr>
          <w:rtl w:val="0"/>
        </w:rPr>
      </w:r>
    </w:p>
    <w:p w:rsidR="00000000" w:rsidDel="00000000" w:rsidP="00000000" w:rsidRDefault="00000000" w:rsidRPr="00000000" w14:paraId="0000008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Rugi Bersih di 2025 Bengkak 51,7%, Defisit WSKT Naik Jadi Rp20,22 Triliun, </w:t>
      </w:r>
      <w:hyperlink r:id="rId53">
        <w:r w:rsidDel="00000000" w:rsidR="00000000" w:rsidRPr="00000000">
          <w:rPr>
            <w:rFonts w:ascii="Google Sans" w:cs="Google Sans" w:eastAsia="Google Sans" w:hAnsi="Google Sans"/>
            <w:color w:val="0000ee"/>
            <w:sz w:val="24"/>
            <w:szCs w:val="24"/>
            <w:u w:val="single"/>
            <w:rtl w:val="0"/>
          </w:rPr>
          <w:t xml:space="preserve">https://www.indopremier.com/ipotnews/newsDetail.php?jdl=Rugi%20Bersih%20di%202025%20Bengkak%2051,7%,%20Defisit%20WSKT%20Naik%20Jadi%20Rp20,22%20Triliun&amp;news_id=215655&amp;group_news=IPOTNEWS&amp;news_date=&amp;taging_subtype=&amp;name=&amp;search=&amp;q=&amp;halaman=</w:t>
        </w:r>
      </w:hyperlink>
      <w:r w:rsidDel="00000000" w:rsidR="00000000" w:rsidRPr="00000000">
        <w:rPr>
          <w:rtl w:val="0"/>
        </w:rPr>
      </w:r>
    </w:p>
    <w:p w:rsidR="00000000" w:rsidDel="00000000" w:rsidP="00000000" w:rsidRDefault="00000000" w:rsidRPr="00000000" w14:paraId="0000008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BPK Temukan Fraud Indofarma, Negara Rugi Rp146,57 M - CNBC Indonesia, </w:t>
      </w:r>
      <w:hyperlink r:id="rId54">
        <w:r w:rsidDel="00000000" w:rsidR="00000000" w:rsidRPr="00000000">
          <w:rPr>
            <w:rFonts w:ascii="Google Sans" w:cs="Google Sans" w:eastAsia="Google Sans" w:hAnsi="Google Sans"/>
            <w:color w:val="0000ee"/>
            <w:sz w:val="24"/>
            <w:szCs w:val="24"/>
            <w:u w:val="single"/>
            <w:rtl w:val="0"/>
          </w:rPr>
          <w:t xml:space="preserve">https://www.cnbcindonesia.com/market/20240604111238-17-543629/bpk-temukan-fraud-indofarma-negara-rugi-rp14657-m</w:t>
        </w:r>
      </w:hyperlink>
      <w:r w:rsidDel="00000000" w:rsidR="00000000" w:rsidRPr="00000000">
        <w:rPr>
          <w:rtl w:val="0"/>
        </w:rPr>
      </w:r>
    </w:p>
    <w:p w:rsidR="00000000" w:rsidDel="00000000" w:rsidP="00000000" w:rsidRDefault="00000000" w:rsidRPr="00000000" w14:paraId="0000008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BPK Laporkan Indofarma (INAF) Bikin Rugi Negara Rp317 M - Bloomberg Technoz, </w:t>
      </w:r>
      <w:hyperlink r:id="rId55">
        <w:r w:rsidDel="00000000" w:rsidR="00000000" w:rsidRPr="00000000">
          <w:rPr>
            <w:rFonts w:ascii="Google Sans" w:cs="Google Sans" w:eastAsia="Google Sans" w:hAnsi="Google Sans"/>
            <w:color w:val="0000ee"/>
            <w:sz w:val="24"/>
            <w:szCs w:val="24"/>
            <w:u w:val="single"/>
            <w:rtl w:val="0"/>
          </w:rPr>
          <w:t xml:space="preserve">https://www.bloombergtechnoz.com/detail-news/38435/bpk-laporkan-indofarma-inaf-bikin-rugi-negara-rp317-m</w:t>
        </w:r>
      </w:hyperlink>
      <w:r w:rsidDel="00000000" w:rsidR="00000000" w:rsidRPr="00000000">
        <w:rPr>
          <w:rtl w:val="0"/>
        </w:rPr>
      </w:r>
    </w:p>
    <w:p w:rsidR="00000000" w:rsidDel="00000000" w:rsidP="00000000" w:rsidRDefault="00000000" w:rsidRPr="00000000" w14:paraId="0000008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Temuan BPK: Indofarma Berpotensi Rugikan Negara Rp146,57 Miliar | tempo.co, </w:t>
      </w:r>
      <w:hyperlink r:id="rId56">
        <w:r w:rsidDel="00000000" w:rsidR="00000000" w:rsidRPr="00000000">
          <w:rPr>
            <w:rFonts w:ascii="Google Sans" w:cs="Google Sans" w:eastAsia="Google Sans" w:hAnsi="Google Sans"/>
            <w:color w:val="0000ee"/>
            <w:sz w:val="24"/>
            <w:szCs w:val="24"/>
            <w:u w:val="single"/>
            <w:rtl w:val="0"/>
          </w:rPr>
          <w:t xml:space="preserve">https://www.tempo.co/ekonomi/temuan-bpk-indofarma-berpotensi-rugikan-negara-rp146-57-miliar-52501</w:t>
        </w:r>
      </w:hyperlink>
      <w:r w:rsidDel="00000000" w:rsidR="00000000" w:rsidRPr="00000000">
        <w:rPr>
          <w:rtl w:val="0"/>
        </w:rPr>
      </w:r>
    </w:p>
    <w:p w:rsidR="00000000" w:rsidDel="00000000" w:rsidP="00000000" w:rsidRDefault="00000000" w:rsidRPr="00000000" w14:paraId="0000008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Aspek Perpajakan Danantara | Direktorat Jenderal Pajak, </w:t>
      </w:r>
      <w:hyperlink r:id="rId57">
        <w:r w:rsidDel="00000000" w:rsidR="00000000" w:rsidRPr="00000000">
          <w:rPr>
            <w:rFonts w:ascii="Google Sans" w:cs="Google Sans" w:eastAsia="Google Sans" w:hAnsi="Google Sans"/>
            <w:color w:val="0000ee"/>
            <w:sz w:val="24"/>
            <w:szCs w:val="24"/>
            <w:u w:val="single"/>
            <w:rtl w:val="0"/>
          </w:rPr>
          <w:t xml:space="preserve">https://www.pajak.go.id/id/artikel/aspek-perpajakan-danantara</w:t>
        </w:r>
      </w:hyperlink>
      <w:r w:rsidDel="00000000" w:rsidR="00000000" w:rsidRPr="00000000">
        <w:rPr>
          <w:rtl w:val="0"/>
        </w:rPr>
      </w:r>
    </w:p>
    <w:p w:rsidR="00000000" w:rsidDel="00000000" w:rsidP="00000000" w:rsidRDefault="00000000" w:rsidRPr="00000000" w14:paraId="0000008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Kewenangan Baru Danantara dalam PP 19/2026 - Pajakku, </w:t>
      </w:r>
      <w:hyperlink r:id="rId58">
        <w:r w:rsidDel="00000000" w:rsidR="00000000" w:rsidRPr="00000000">
          <w:rPr>
            <w:rFonts w:ascii="Google Sans" w:cs="Google Sans" w:eastAsia="Google Sans" w:hAnsi="Google Sans"/>
            <w:color w:val="0000ee"/>
            <w:sz w:val="24"/>
            <w:szCs w:val="24"/>
            <w:u w:val="single"/>
            <w:rtl w:val="0"/>
          </w:rPr>
          <w:t xml:space="preserve">https://pajakku.com/artikel/kewenangan-baru-danantara-dalam-pp-192026</w:t>
        </w:r>
      </w:hyperlink>
      <w:r w:rsidDel="00000000" w:rsidR="00000000" w:rsidRPr="00000000">
        <w:rPr>
          <w:rtl w:val="0"/>
        </w:rPr>
      </w:r>
    </w:p>
    <w:p w:rsidR="00000000" w:rsidDel="00000000" w:rsidP="00000000" w:rsidRDefault="00000000" w:rsidRPr="00000000" w14:paraId="0000008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Locus: Jurnal Konsep Ilmu Hukum, </w:t>
      </w:r>
      <w:hyperlink r:id="rId59">
        <w:r w:rsidDel="00000000" w:rsidR="00000000" w:rsidRPr="00000000">
          <w:rPr>
            <w:rFonts w:ascii="Google Sans" w:cs="Google Sans" w:eastAsia="Google Sans" w:hAnsi="Google Sans"/>
            <w:color w:val="0000ee"/>
            <w:sz w:val="24"/>
            <w:szCs w:val="24"/>
            <w:u w:val="single"/>
            <w:rtl w:val="0"/>
          </w:rPr>
          <w:t xml:space="preserve">https://jurnal.locusmedia.id/index.php/jkih/article/download/931/437/1886</w:t>
        </w:r>
      </w:hyperlink>
      <w:r w:rsidDel="00000000" w:rsidR="00000000" w:rsidRPr="00000000">
        <w:rPr>
          <w:rtl w:val="0"/>
        </w:rPr>
      </w:r>
    </w:p>
    <w:p w:rsidR="00000000" w:rsidDel="00000000" w:rsidP="00000000" w:rsidRDefault="00000000" w:rsidRPr="00000000" w14:paraId="0000008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Wihadi Wijanto: Dividen BUMN Beralih ke Danantara, Bukan Hilang dari Negara - DPR RI, </w:t>
      </w:r>
      <w:hyperlink r:id="rId60">
        <w:r w:rsidDel="00000000" w:rsidR="00000000" w:rsidRPr="00000000">
          <w:rPr>
            <w:rFonts w:ascii="Google Sans" w:cs="Google Sans" w:eastAsia="Google Sans" w:hAnsi="Google Sans"/>
            <w:color w:val="0000ee"/>
            <w:sz w:val="24"/>
            <w:szCs w:val="24"/>
            <w:u w:val="single"/>
            <w:rtl w:val="0"/>
          </w:rPr>
          <w:t xml:space="preserve">https://www.dpr.go.id/kegiatan-dpr/berita/Wihadi-Wijanto-Dividen-BUMN-Beralih-ke-Danantara-Bukan-Hilang-dari-Negara-66874</w:t>
        </w:r>
      </w:hyperlink>
      <w:r w:rsidDel="00000000" w:rsidR="00000000" w:rsidRPr="00000000">
        <w:rPr>
          <w:rtl w:val="0"/>
        </w:rPr>
      </w:r>
    </w:p>
    <w:p w:rsidR="00000000" w:rsidDel="00000000" w:rsidP="00000000" w:rsidRDefault="00000000" w:rsidRPr="00000000" w14:paraId="0000008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SATU TAHUN DANANTARA: EVALUASI REFORMASI PENGELOLAAN BUMN - BINUS Business Law, </w:t>
      </w:r>
      <w:hyperlink r:id="rId61">
        <w:r w:rsidDel="00000000" w:rsidR="00000000" w:rsidRPr="00000000">
          <w:rPr>
            <w:rFonts w:ascii="Google Sans" w:cs="Google Sans" w:eastAsia="Google Sans" w:hAnsi="Google Sans"/>
            <w:color w:val="0000ee"/>
            <w:sz w:val="24"/>
            <w:szCs w:val="24"/>
            <w:u w:val="single"/>
            <w:rtl w:val="0"/>
          </w:rPr>
          <w:t xml:space="preserve">https://business-law.binus.ac.id/2026/03/05/satu-tahun-danantara-evaluasi-reformasi-pengelolaan-bumn/</w:t>
        </w:r>
      </w:hyperlink>
      <w:r w:rsidDel="00000000" w:rsidR="00000000" w:rsidRPr="00000000">
        <w:rPr>
          <w:rtl w:val="0"/>
        </w:rPr>
      </w:r>
    </w:p>
    <w:p w:rsidR="00000000" w:rsidDel="00000000" w:rsidP="00000000" w:rsidRDefault="00000000" w:rsidRPr="00000000" w14:paraId="0000008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RECENT MACROECONOMIC and FISCAL DEVELOPMENT, </w:t>
      </w:r>
      <w:hyperlink r:id="rId62">
        <w:r w:rsidDel="00000000" w:rsidR="00000000" w:rsidRPr="00000000">
          <w:rPr>
            <w:rFonts w:ascii="Google Sans" w:cs="Google Sans" w:eastAsia="Google Sans" w:hAnsi="Google Sans"/>
            <w:color w:val="0000ee"/>
            <w:sz w:val="24"/>
            <w:szCs w:val="24"/>
            <w:u w:val="single"/>
            <w:rtl w:val="0"/>
          </w:rPr>
          <w:t xml:space="preserve">https://fiskal.kemenkeu.go.id/files/red/file/1744883860_red-maret.pdf</w:t>
        </w:r>
      </w:hyperlink>
      <w:r w:rsidDel="00000000" w:rsidR="00000000" w:rsidRPr="00000000">
        <w:rPr>
          <w:rtl w:val="0"/>
        </w:rPr>
      </w:r>
    </w:p>
    <w:p w:rsidR="00000000" w:rsidDel="00000000" w:rsidP="00000000" w:rsidRDefault="00000000" w:rsidRPr="00000000" w14:paraId="0000008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RECENT MACROECONOMIC and FISCAL DEVELOPMENT, </w:t>
      </w:r>
      <w:hyperlink r:id="rId63">
        <w:r w:rsidDel="00000000" w:rsidR="00000000" w:rsidRPr="00000000">
          <w:rPr>
            <w:rFonts w:ascii="Google Sans" w:cs="Google Sans" w:eastAsia="Google Sans" w:hAnsi="Google Sans"/>
            <w:color w:val="0000ee"/>
            <w:sz w:val="24"/>
            <w:szCs w:val="24"/>
            <w:u w:val="single"/>
            <w:rtl w:val="0"/>
          </w:rPr>
          <w:t xml:space="preserve">https://fiskal.kemenkeu.go.id/files/red/file/1745830563_2025_april_red.pdf</w:t>
        </w:r>
      </w:hyperlink>
      <w:r w:rsidDel="00000000" w:rsidR="00000000" w:rsidRPr="00000000">
        <w:rPr>
          <w:rtl w:val="0"/>
        </w:rPr>
      </w:r>
    </w:p>
    <w:p w:rsidR="00000000" w:rsidDel="00000000" w:rsidP="00000000" w:rsidRDefault="00000000" w:rsidRPr="00000000" w14:paraId="0000008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BPS Catat 9,48 Juta Kelas Menengah Turun Kelas Sejak 2019 - CNN Indonesia, </w:t>
      </w:r>
      <w:hyperlink r:id="rId64">
        <w:r w:rsidDel="00000000" w:rsidR="00000000" w:rsidRPr="00000000">
          <w:rPr>
            <w:rFonts w:ascii="Google Sans" w:cs="Google Sans" w:eastAsia="Google Sans" w:hAnsi="Google Sans"/>
            <w:color w:val="0000ee"/>
            <w:sz w:val="24"/>
            <w:szCs w:val="24"/>
            <w:u w:val="single"/>
            <w:rtl w:val="0"/>
          </w:rPr>
          <w:t xml:space="preserve">https://www.cnnindonesia.com/ekonomi/20240828133448-532-1138539/bps-catat-948-juta-kelas-menengah-turun-kelas-sejak-2019</w:t>
        </w:r>
      </w:hyperlink>
      <w:r w:rsidDel="00000000" w:rsidR="00000000" w:rsidRPr="00000000">
        <w:rPr>
          <w:rtl w:val="0"/>
        </w:rPr>
      </w:r>
    </w:p>
    <w:p w:rsidR="00000000" w:rsidDel="00000000" w:rsidP="00000000" w:rsidRDefault="00000000" w:rsidRPr="00000000" w14:paraId="0000008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BPS Sebut Porsi Pengeluaran Pajak Kelas Menengah Naik - MUC Consulting, </w:t>
      </w:r>
      <w:hyperlink r:id="rId65">
        <w:r w:rsidDel="00000000" w:rsidR="00000000" w:rsidRPr="00000000">
          <w:rPr>
            <w:rFonts w:ascii="Google Sans" w:cs="Google Sans" w:eastAsia="Google Sans" w:hAnsi="Google Sans"/>
            <w:color w:val="0000ee"/>
            <w:sz w:val="24"/>
            <w:szCs w:val="24"/>
            <w:u w:val="single"/>
            <w:rtl w:val="0"/>
          </w:rPr>
          <w:t xml:space="preserve">https://muc.co.id/id/article/bps-sebut-porsi-pengeluaran-pajak-kelas-menengah-naik</w:t>
        </w:r>
      </w:hyperlink>
      <w:r w:rsidDel="00000000" w:rsidR="00000000" w:rsidRPr="00000000">
        <w:rPr>
          <w:rtl w:val="0"/>
        </w:rPr>
      </w:r>
    </w:p>
    <w:p w:rsidR="00000000" w:rsidDel="00000000" w:rsidP="00000000" w:rsidRDefault="00000000" w:rsidRPr="00000000" w14:paraId="0000008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pengaruh kenaikan penghasilan tidak kena pajak (ptkp) terhadap peningkatan daya beli - Neliti, </w:t>
      </w:r>
      <w:hyperlink r:id="rId66">
        <w:r w:rsidDel="00000000" w:rsidR="00000000" w:rsidRPr="00000000">
          <w:rPr>
            <w:rFonts w:ascii="Google Sans" w:cs="Google Sans" w:eastAsia="Google Sans" w:hAnsi="Google Sans"/>
            <w:color w:val="0000ee"/>
            <w:sz w:val="24"/>
            <w:szCs w:val="24"/>
            <w:u w:val="single"/>
            <w:rtl w:val="0"/>
          </w:rPr>
          <w:t xml:space="preserve">https://media.neliti.com/media/publications/189146-ID-pengaruh-kenaikan-penghasilan-tidak-kena.pdf</w:t>
        </w:r>
      </w:hyperlink>
      <w:r w:rsidDel="00000000" w:rsidR="00000000" w:rsidRPr="00000000">
        <w:rPr>
          <w:rtl w:val="0"/>
        </w:rPr>
      </w:r>
    </w:p>
    <w:p w:rsidR="00000000" w:rsidDel="00000000" w:rsidP="00000000" w:rsidRDefault="00000000" w:rsidRPr="00000000" w14:paraId="0000008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DJP Andalkan Coretax dan Ekstensifikasi Pajak untuk Kejar Tax Ratio hingga 15% - IKPI, </w:t>
      </w:r>
      <w:hyperlink r:id="rId67">
        <w:r w:rsidDel="00000000" w:rsidR="00000000" w:rsidRPr="00000000">
          <w:rPr>
            <w:rFonts w:ascii="Google Sans" w:cs="Google Sans" w:eastAsia="Google Sans" w:hAnsi="Google Sans"/>
            <w:color w:val="0000ee"/>
            <w:sz w:val="24"/>
            <w:szCs w:val="24"/>
            <w:u w:val="single"/>
            <w:rtl w:val="0"/>
          </w:rPr>
          <w:t xml:space="preserve">https://ikpi.or.id/djp-andalkan-coretax-dan-ekstensifikasi-pajak-untuk-kejar-tax-ratio-hingga-15/</w:t>
        </w:r>
      </w:hyperlink>
      <w:r w:rsidDel="00000000" w:rsidR="00000000" w:rsidRPr="00000000">
        <w:rPr>
          <w:rtl w:val="0"/>
        </w:rPr>
      </w:r>
    </w:p>
    <w:p w:rsidR="00000000" w:rsidDel="00000000" w:rsidP="00000000" w:rsidRDefault="00000000" w:rsidRPr="00000000" w14:paraId="0000009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Bedah Sistem Coretax, Mampukah Dongkrak Penerimaan Pajak 2026 ? | enciety.co, </w:t>
      </w:r>
      <w:hyperlink r:id="rId68">
        <w:r w:rsidDel="00000000" w:rsidR="00000000" w:rsidRPr="00000000">
          <w:rPr>
            <w:rFonts w:ascii="Google Sans" w:cs="Google Sans" w:eastAsia="Google Sans" w:hAnsi="Google Sans"/>
            <w:color w:val="0000ee"/>
            <w:sz w:val="24"/>
            <w:szCs w:val="24"/>
            <w:u w:val="single"/>
            <w:rtl w:val="0"/>
          </w:rPr>
          <w:t xml:space="preserve">https://enciety.co/bedah-sistem-coretax-mampukah-dongkrak-penerimaan-pajak-2026/</w:t>
        </w:r>
      </w:hyperlink>
      <w:r w:rsidDel="00000000" w:rsidR="00000000" w:rsidRPr="00000000">
        <w:rPr>
          <w:rtl w:val="0"/>
        </w:rPr>
      </w:r>
    </w:p>
    <w:p w:rsidR="00000000" w:rsidDel="00000000" w:rsidP="00000000" w:rsidRDefault="00000000" w:rsidRPr="00000000" w14:paraId="0000009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Dampak Implementasi Coretax Terhadap Kepatuhan Wajib Pajak dan Penerimaan Negara - Jurnal UNIKA Soegijapranata, </w:t>
      </w:r>
      <w:hyperlink r:id="rId69">
        <w:r w:rsidDel="00000000" w:rsidR="00000000" w:rsidRPr="00000000">
          <w:rPr>
            <w:rFonts w:ascii="Google Sans" w:cs="Google Sans" w:eastAsia="Google Sans" w:hAnsi="Google Sans"/>
            <w:color w:val="0000ee"/>
            <w:sz w:val="24"/>
            <w:szCs w:val="24"/>
            <w:u w:val="single"/>
            <w:rtl w:val="0"/>
          </w:rPr>
          <w:t xml:space="preserve">https://journal.unika.ac.id/index.php/jemap/article/download/14261/pdf</w:t>
        </w:r>
      </w:hyperlink>
      <w:r w:rsidDel="00000000" w:rsidR="00000000" w:rsidRPr="00000000">
        <w:rPr>
          <w:rtl w:val="0"/>
        </w:rPr>
      </w:r>
    </w:p>
    <w:p w:rsidR="00000000" w:rsidDel="00000000" w:rsidP="00000000" w:rsidRDefault="00000000" w:rsidRPr="00000000" w14:paraId="0000009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Dari Layar Lebar Menuju Era Perpajakan Digital | Direktorat Jenderal Pajak, </w:t>
      </w:r>
      <w:hyperlink r:id="rId70">
        <w:r w:rsidDel="00000000" w:rsidR="00000000" w:rsidRPr="00000000">
          <w:rPr>
            <w:rFonts w:ascii="Google Sans" w:cs="Google Sans" w:eastAsia="Google Sans" w:hAnsi="Google Sans"/>
            <w:color w:val="0000ee"/>
            <w:sz w:val="24"/>
            <w:szCs w:val="24"/>
            <w:u w:val="single"/>
            <w:rtl w:val="0"/>
          </w:rPr>
          <w:t xml:space="preserve">https://www.pajak.go.id/id/artikel/dari-layar-lebar-menuju-era-perpajakan-digital</w:t>
        </w:r>
      </w:hyperlink>
      <w:r w:rsidDel="00000000" w:rsidR="00000000" w:rsidRPr="00000000">
        <w:rPr>
          <w:rtl w:val="0"/>
        </w:rPr>
      </w:r>
    </w:p>
    <w:p w:rsidR="00000000" w:rsidDel="00000000" w:rsidP="00000000" w:rsidRDefault="00000000" w:rsidRPr="00000000" w14:paraId="0000009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Indonesia: 2024 Article IV Consultation-Press Release; Staff Report; and Statement by the Executive Director for Indonesia in: IMF Staff Country Reports Volume 2024 Issue 270 (2024), </w:t>
      </w:r>
      <w:hyperlink r:id="rId71">
        <w:r w:rsidDel="00000000" w:rsidR="00000000" w:rsidRPr="00000000">
          <w:rPr>
            <w:rFonts w:ascii="Google Sans" w:cs="Google Sans" w:eastAsia="Google Sans" w:hAnsi="Google Sans"/>
            <w:color w:val="0000ee"/>
            <w:sz w:val="24"/>
            <w:szCs w:val="24"/>
            <w:u w:val="single"/>
            <w:rtl w:val="0"/>
          </w:rPr>
          <w:t xml:space="preserve">https://www.elibrary.imf.org/view/journals/002/2024/270/article-A001-en.xml</w:t>
        </w:r>
      </w:hyperlink>
      <w:r w:rsidDel="00000000" w:rsidR="00000000" w:rsidRPr="00000000">
        <w:rPr>
          <w:rtl w:val="0"/>
        </w:rPr>
      </w:r>
    </w:p>
    <w:p w:rsidR="00000000" w:rsidDel="00000000" w:rsidP="00000000" w:rsidRDefault="00000000" w:rsidRPr="00000000" w14:paraId="0000009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Maximizing Economic Growth in Indonesia: A Model-Based Exploration of Optimal Tax Ratios | Indonesian Treasury Review: Jurnal Perbendaharaan, Keuangan Negara dan Kebijakan Publik, </w:t>
      </w:r>
      <w:hyperlink r:id="rId72">
        <w:r w:rsidDel="00000000" w:rsidR="00000000" w:rsidRPr="00000000">
          <w:rPr>
            <w:rFonts w:ascii="Google Sans" w:cs="Google Sans" w:eastAsia="Google Sans" w:hAnsi="Google Sans"/>
            <w:color w:val="0000ee"/>
            <w:sz w:val="24"/>
            <w:szCs w:val="24"/>
            <w:u w:val="single"/>
            <w:rtl w:val="0"/>
          </w:rPr>
          <w:t xml:space="preserve">https://itrev.kemenkeu.go.id/index.php/ITRev/article/view/756</w:t>
        </w:r>
      </w:hyperlink>
      <w:r w:rsidDel="00000000" w:rsidR="00000000" w:rsidRPr="00000000">
        <w:rPr>
          <w:rtl w:val="0"/>
        </w:rPr>
      </w:r>
    </w:p>
    <w:p w:rsidR="00000000" w:rsidDel="00000000" w:rsidP="00000000" w:rsidRDefault="00000000" w:rsidRPr="00000000" w14:paraId="0000009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(PDF) Maximizing Economic Growth in Indonesia: A Model-Based Exploration of Optimal Tax Ratios - ResearchGate, </w:t>
      </w:r>
      <w:hyperlink r:id="rId73">
        <w:r w:rsidDel="00000000" w:rsidR="00000000" w:rsidRPr="00000000">
          <w:rPr>
            <w:rFonts w:ascii="Google Sans" w:cs="Google Sans" w:eastAsia="Google Sans" w:hAnsi="Google Sans"/>
            <w:color w:val="0000ee"/>
            <w:sz w:val="24"/>
            <w:szCs w:val="24"/>
            <w:u w:val="single"/>
            <w:rtl w:val="0"/>
          </w:rPr>
          <w:t xml:space="preserve">https://www.researchgate.net/publication/382066389_Maximizing_Economic_Growth_in_Indonesia_A_Model-Based_Exploration_of_Optimal_Tax_Ratios</w:t>
        </w:r>
      </w:hyperlink>
      <w:r w:rsidDel="00000000" w:rsidR="00000000" w:rsidRPr="00000000">
        <w:rPr>
          <w:rtl w:val="0"/>
        </w:rPr>
      </w:r>
    </w:p>
    <w:p w:rsidR="00000000" w:rsidDel="00000000" w:rsidP="00000000" w:rsidRDefault="00000000" w:rsidRPr="00000000" w14:paraId="0000009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Utang Pemerintah Indonesia Tembus Rp9.920 Triliun pada Kuartal I 2026 - BAK UNAS, </w:t>
      </w:r>
      <w:hyperlink r:id="rId74">
        <w:r w:rsidDel="00000000" w:rsidR="00000000" w:rsidRPr="00000000">
          <w:rPr>
            <w:rFonts w:ascii="Google Sans" w:cs="Google Sans" w:eastAsia="Google Sans" w:hAnsi="Google Sans"/>
            <w:color w:val="0000ee"/>
            <w:sz w:val="24"/>
            <w:szCs w:val="24"/>
            <w:u w:val="single"/>
            <w:rtl w:val="0"/>
          </w:rPr>
          <w:t xml:space="preserve">https://bak.unas.ac.id/2026/05/08/utang-pemerintah-indonesia-tembus-rp9-920-triliun-pada-kuartal-i-2026/</w:t>
        </w:r>
      </w:hyperlink>
      <w:r w:rsidDel="00000000" w:rsidR="00000000" w:rsidRPr="00000000">
        <w:rPr>
          <w:rtl w:val="0"/>
        </w:rPr>
      </w:r>
    </w:p>
    <w:p w:rsidR="00000000" w:rsidDel="00000000" w:rsidP="00000000" w:rsidRDefault="00000000" w:rsidRPr="00000000" w14:paraId="0000009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Rasio Utang Pemerintah Indonesia terhadap PDB - ID | TRADINGECONOMICS.COM, </w:t>
      </w:r>
      <w:hyperlink r:id="rId75">
        <w:r w:rsidDel="00000000" w:rsidR="00000000" w:rsidRPr="00000000">
          <w:rPr>
            <w:rFonts w:ascii="Google Sans" w:cs="Google Sans" w:eastAsia="Google Sans" w:hAnsi="Google Sans"/>
            <w:color w:val="0000ee"/>
            <w:sz w:val="24"/>
            <w:szCs w:val="24"/>
            <w:u w:val="single"/>
            <w:rtl w:val="0"/>
          </w:rPr>
          <w:t xml:space="preserve">https://id.tradingeconomics.com/indonesia/government-debt-to-gdp</w:t>
        </w:r>
      </w:hyperlink>
      <w:r w:rsidDel="00000000" w:rsidR="00000000" w:rsidRPr="00000000">
        <w:rPr>
          <w:rtl w:val="0"/>
        </w:rPr>
      </w:r>
    </w:p>
    <w:p w:rsidR="00000000" w:rsidDel="00000000" w:rsidP="00000000" w:rsidRDefault="00000000" w:rsidRPr="00000000" w14:paraId="0000009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Membayar Masa Depan Indonesia Emas 2045, Praktik Defisit Pembayaran di APBN 2026, </w:t>
      </w:r>
      <w:hyperlink r:id="rId76">
        <w:r w:rsidDel="00000000" w:rsidR="00000000" w:rsidRPr="00000000">
          <w:rPr>
            <w:rFonts w:ascii="Google Sans" w:cs="Google Sans" w:eastAsia="Google Sans" w:hAnsi="Google Sans"/>
            <w:color w:val="0000ee"/>
            <w:sz w:val="24"/>
            <w:szCs w:val="24"/>
            <w:u w:val="single"/>
            <w:rtl w:val="0"/>
          </w:rPr>
          <w:t xml:space="preserve">https://www.kompasiana.com/ecofinscfebundip8623/69a6fc16c925c43d7d267b52/membayar-masa-depan-indonesia-emas-2045-praktik-defisit-pembayaran-di-apbn-2026?page=all&amp;page_images=3</w:t>
        </w:r>
      </w:hyperlink>
      <w:r w:rsidDel="00000000" w:rsidR="00000000" w:rsidRPr="00000000">
        <w:rPr>
          <w:rtl w:val="0"/>
        </w:rPr>
      </w:r>
    </w:p>
    <w:p w:rsidR="00000000" w:rsidDel="00000000" w:rsidP="00000000" w:rsidRDefault="00000000" w:rsidRPr="00000000" w14:paraId="0000009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Indef Pangkas Proyeksi Ekonomi Indonesia Jadi 4,5%, Ketegangan Dagang dan Strategi Fiskal Konservatif Jadi Penyebab - Makmur, </w:t>
      </w:r>
      <w:hyperlink r:id="rId77">
        <w:r w:rsidDel="00000000" w:rsidR="00000000" w:rsidRPr="00000000">
          <w:rPr>
            <w:rFonts w:ascii="Google Sans" w:cs="Google Sans" w:eastAsia="Google Sans" w:hAnsi="Google Sans"/>
            <w:color w:val="0000ee"/>
            <w:sz w:val="24"/>
            <w:szCs w:val="24"/>
            <w:u w:val="single"/>
            <w:rtl w:val="0"/>
          </w:rPr>
          <w:t xml:space="preserve">https://www.makmur.id/id/blog/artikel/indef-pangkas-proyeksi-ekonomi-indonesia-jadi-45-ketegangan-dagang-dan-strategi-fiskal-konservatif-jadi-penyebab</w:t>
        </w:r>
      </w:hyperlink>
      <w:r w:rsidDel="00000000" w:rsidR="00000000" w:rsidRPr="00000000">
        <w:rPr>
          <w:rtl w:val="0"/>
        </w:rPr>
      </w:r>
    </w:p>
    <w:p w:rsidR="00000000" w:rsidDel="00000000" w:rsidP="00000000" w:rsidRDefault="00000000" w:rsidRPr="00000000" w14:paraId="0000009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Indonesia's Macroeconomic and Finance Policy Framework for Structural Transformation - UNCTAD, </w:t>
      </w:r>
      <w:hyperlink r:id="rId78">
        <w:r w:rsidDel="00000000" w:rsidR="00000000" w:rsidRPr="00000000">
          <w:rPr>
            <w:rFonts w:ascii="Google Sans" w:cs="Google Sans" w:eastAsia="Google Sans" w:hAnsi="Google Sans"/>
            <w:color w:val="0000ee"/>
            <w:sz w:val="24"/>
            <w:szCs w:val="24"/>
            <w:u w:val="single"/>
            <w:rtl w:val="0"/>
          </w:rPr>
          <w:t xml:space="preserve">https://unctad.org/system/files/official-document/BRI-Project_RP08_en.pdf</w:t>
        </w:r>
      </w:hyperlink>
      <w:r w:rsidDel="00000000" w:rsidR="00000000" w:rsidRPr="00000000">
        <w:rPr>
          <w:rtl w:val="0"/>
        </w:rPr>
      </w:r>
    </w:p>
    <w:p w:rsidR="00000000" w:rsidDel="00000000" w:rsidP="00000000" w:rsidRDefault="00000000" w:rsidRPr="00000000" w14:paraId="0000009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Budget Politics in Indonesia: A Case Study of the House of Representative's Optimization Fund | Sudja | Budapest International Research and Critics Institute-Journal (BIRCI-Journal), </w:t>
      </w:r>
      <w:hyperlink r:id="rId79">
        <w:r w:rsidDel="00000000" w:rsidR="00000000" w:rsidRPr="00000000">
          <w:rPr>
            <w:rFonts w:ascii="Google Sans" w:cs="Google Sans" w:eastAsia="Google Sans" w:hAnsi="Google Sans"/>
            <w:color w:val="0000ee"/>
            <w:sz w:val="24"/>
            <w:szCs w:val="24"/>
            <w:u w:val="single"/>
            <w:rtl w:val="0"/>
          </w:rPr>
          <w:t xml:space="preserve">https://www.bircu-journal.com/index.php/birci/article/view/6621</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ikpi.or.id/celios-dorong-wealth-tax-2-persen-potensi-rp81-triliun-dari-50-crazy-rich/" TargetMode="External"/><Relationship Id="rId42" Type="http://schemas.openxmlformats.org/officeDocument/2006/relationships/hyperlink" Target="https://muc.co.id/id/article/indonesia-sambut-era-keterbukaan-informasi-perpajakan" TargetMode="External"/><Relationship Id="rId41" Type="http://schemas.openxmlformats.org/officeDocument/2006/relationships/hyperlink" Target="https://www.econ.uzh.ch/dam/jcr:432c4c17-c113-4bf6-97dc-33818e30d45b/wealth%20tax.pdf" TargetMode="External"/><Relationship Id="rId44" Type="http://schemas.openxmlformats.org/officeDocument/2006/relationships/hyperlink" Target="https://kpk.go.id/id/ruang-informasi/berita/kinerja-2020-2024-kpk-kembalikan-kerugian-negara-senilai-rp25-triliun" TargetMode="External"/><Relationship Id="rId43" Type="http://schemas.openxmlformats.org/officeDocument/2006/relationships/hyperlink" Target="https://www.researchgate.net/publication/341053494_AUTOMATIC_EXCHANGE_OF_INFORMATION_AEOI_DAN_PENGHINDARAN_PAJAK" TargetMode="External"/><Relationship Id="rId46" Type="http://schemas.openxmlformats.org/officeDocument/2006/relationships/hyperlink" Target="https://www.researchgate.net/publication/256994893_Political_budget_cycles_in_Indonesia_at_the_district_level" TargetMode="External"/><Relationship Id="rId45" Type="http://schemas.openxmlformats.org/officeDocument/2006/relationships/hyperlink" Target="https://www.journal.ppishk.org/index.php/jclp/article/download/713/16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uc.co.id/id/article/dpr-sahkan-uu-apbn-2026-berikut-postur-dan-targetnya" TargetMode="External"/><Relationship Id="rId48" Type="http://schemas.openxmlformats.org/officeDocument/2006/relationships/hyperlink" Target="https://ejournal.upi.edu/index.php/aset/article/download/33879/15641" TargetMode="External"/><Relationship Id="rId47" Type="http://schemas.openxmlformats.org/officeDocument/2006/relationships/hyperlink" Target="https://www.researchgate.net/publication/393390577_Political_Budget_Cycle_in_Local_Elections_in_Indonesia_A_Systematic_Review" TargetMode="External"/><Relationship Id="rId49" Type="http://schemas.openxmlformats.org/officeDocument/2006/relationships/hyperlink" Target="https://www.youtube.com/watch?v=qvZijgO4Oa4" TargetMode="External"/><Relationship Id="rId5" Type="http://schemas.openxmlformats.org/officeDocument/2006/relationships/styles" Target="styles.xml"/><Relationship Id="rId6" Type="http://schemas.openxmlformats.org/officeDocument/2006/relationships/hyperlink" Target="https://www.elibrary.imf.org/downloadpdf/journals/002/2024/270/article-A000-en.pdf" TargetMode="External"/><Relationship Id="rId7" Type="http://schemas.openxmlformats.org/officeDocument/2006/relationships/hyperlink" Target="https://www.kemenkeu.go.id/informasi-publik/publikasi/berita-utama/raker-banggar-sepakati-apbn26" TargetMode="External"/><Relationship Id="rId8" Type="http://schemas.openxmlformats.org/officeDocument/2006/relationships/hyperlink" Target="https://informasi.com/data/infrms-23916/postur-rapbn-2026-disepakati-pendapatan-rp3153-t-belanja-rp3842-t" TargetMode="External"/><Relationship Id="rId73" Type="http://schemas.openxmlformats.org/officeDocument/2006/relationships/hyperlink" Target="https://www.researchgate.net/publication/382066389_Maximizing_Economic_Growth_in_Indonesia_A_Model-Based_Exploration_of_Optimal_Tax_Ratios" TargetMode="External"/><Relationship Id="rId72" Type="http://schemas.openxmlformats.org/officeDocument/2006/relationships/hyperlink" Target="https://itrev.kemenkeu.go.id/index.php/ITRev/article/view/756" TargetMode="External"/><Relationship Id="rId31" Type="http://schemas.openxmlformats.org/officeDocument/2006/relationships/hyperlink" Target="https://www.cnnindonesia.com/nasional/20251001062637-12-1279528/icw-ri-rugi-rp279-t-imbas-korupsi-2024-pemulihan-aset-baru-rp28-m" TargetMode="External"/><Relationship Id="rId75" Type="http://schemas.openxmlformats.org/officeDocument/2006/relationships/hyperlink" Target="https://id.tradingeconomics.com/indonesia/government-debt-to-gdp" TargetMode="External"/><Relationship Id="rId30" Type="http://schemas.openxmlformats.org/officeDocument/2006/relationships/hyperlink" Target="https://www.bloombergtechnoz.com/detail-news/110828/bkpm-saran-tax-holiday-tetap-diberikan-ke-smelter-nikel-lokal" TargetMode="External"/><Relationship Id="rId74" Type="http://schemas.openxmlformats.org/officeDocument/2006/relationships/hyperlink" Target="https://bak.unas.ac.id/2026/05/08/utang-pemerintah-indonesia-tembus-rp9-920-triliun-pada-kuartal-i-2026/" TargetMode="External"/><Relationship Id="rId33" Type="http://schemas.openxmlformats.org/officeDocument/2006/relationships/hyperlink" Target="https://ikpi.or.id/pajak-kekayaan-obat-atau-racun/" TargetMode="External"/><Relationship Id="rId77" Type="http://schemas.openxmlformats.org/officeDocument/2006/relationships/hyperlink" Target="https://www.makmur.id/id/blog/artikel/indef-pangkas-proyeksi-ekonomi-indonesia-jadi-45-ketegangan-dagang-dan-strategi-fiskal-konservatif-jadi-penyebab" TargetMode="External"/><Relationship Id="rId32" Type="http://schemas.openxmlformats.org/officeDocument/2006/relationships/hyperlink" Target="https://data.goodstats.id/statistic/icw-negara-berpotensi-rugi-rp279-t-akibat-korupsi-2024-MKJO3" TargetMode="External"/><Relationship Id="rId76" Type="http://schemas.openxmlformats.org/officeDocument/2006/relationships/hyperlink" Target="https://www.kompasiana.com/ecofinscfebundip8623/69a6fc16c925c43d7d267b52/membayar-masa-depan-indonesia-emas-2045-praktik-defisit-pembayaran-di-apbn-2026?page=all&amp;page_images=3" TargetMode="External"/><Relationship Id="rId35" Type="http://schemas.openxmlformats.org/officeDocument/2006/relationships/hyperlink" Target="https://www.tandfonline.com/doi/full/10.1080/09538259.2025.2492268" TargetMode="External"/><Relationship Id="rId79" Type="http://schemas.openxmlformats.org/officeDocument/2006/relationships/hyperlink" Target="https://www.bircu-journal.com/index.php/birci/article/view/6621" TargetMode="External"/><Relationship Id="rId34" Type="http://schemas.openxmlformats.org/officeDocument/2006/relationships/hyperlink" Target="https://www.ssas.co.id/potensi-pajak-orang-super-kaya-di-ri-bisa-tembus-rp142-triliun/" TargetMode="External"/><Relationship Id="rId78" Type="http://schemas.openxmlformats.org/officeDocument/2006/relationships/hyperlink" Target="https://unctad.org/system/files/official-document/BRI-Project_RP08_en.pdf" TargetMode="External"/><Relationship Id="rId71" Type="http://schemas.openxmlformats.org/officeDocument/2006/relationships/hyperlink" Target="https://www.elibrary.imf.org/view/journals/002/2024/270/article-A001-en.xml" TargetMode="External"/><Relationship Id="rId70" Type="http://schemas.openxmlformats.org/officeDocument/2006/relationships/hyperlink" Target="https://www.pajak.go.id/id/artikel/dari-layar-lebar-menuju-era-perpajakan-digital" TargetMode="External"/><Relationship Id="rId37" Type="http://schemas.openxmlformats.org/officeDocument/2006/relationships/hyperlink" Target="https://ejurnal.pajak.go.id/st/article/download/115/66/1314" TargetMode="External"/><Relationship Id="rId36" Type="http://schemas.openxmlformats.org/officeDocument/2006/relationships/hyperlink" Target="https://pajakku.com/artikel/apa-itu-pajak-high-wealth-individual-hwi" TargetMode="External"/><Relationship Id="rId39" Type="http://schemas.openxmlformats.org/officeDocument/2006/relationships/hyperlink" Target="https://theprakarsa.org/penerapan-pajak-kekayaan-di-indonesia-potensi-dan-peluang/" TargetMode="External"/><Relationship Id="rId38" Type="http://schemas.openxmlformats.org/officeDocument/2006/relationships/hyperlink" Target="http://piketty.pse.ens.fr/files/PikettySaezZucman2023RKT.pdf" TargetMode="External"/><Relationship Id="rId62" Type="http://schemas.openxmlformats.org/officeDocument/2006/relationships/hyperlink" Target="https://fiskal.kemenkeu.go.id/files/red/file/1744883860_red-maret.pdf" TargetMode="External"/><Relationship Id="rId61" Type="http://schemas.openxmlformats.org/officeDocument/2006/relationships/hyperlink" Target="https://business-law.binus.ac.id/2026/03/05/satu-tahun-danantara-evaluasi-reformasi-pengelolaan-bumn/" TargetMode="External"/><Relationship Id="rId20" Type="http://schemas.openxmlformats.org/officeDocument/2006/relationships/hyperlink" Target="https://pajakku.com/artikel/purbaya-temukan-indikasi-under-invoicing-saat-sidak-pelabuhan-importir-perlu-pahami-hal-ini" TargetMode="External"/><Relationship Id="rId64" Type="http://schemas.openxmlformats.org/officeDocument/2006/relationships/hyperlink" Target="https://www.cnnindonesia.com/ekonomi/20240828133448-532-1138539/bps-catat-948-juta-kelas-menengah-turun-kelas-sejak-2019" TargetMode="External"/><Relationship Id="rId63" Type="http://schemas.openxmlformats.org/officeDocument/2006/relationships/hyperlink" Target="https://fiskal.kemenkeu.go.id/files/red/file/1745830563_2025_april_red.pdf" TargetMode="External"/><Relationship Id="rId22" Type="http://schemas.openxmlformats.org/officeDocument/2006/relationships/hyperlink" Target="https://www.antaranews.com/berita/5600956/bea-cukai-gagalkan-peredaran-89-juta-batang-rokok-ilegal" TargetMode="External"/><Relationship Id="rId66" Type="http://schemas.openxmlformats.org/officeDocument/2006/relationships/hyperlink" Target="https://media.neliti.com/media/publications/189146-ID-pengaruh-kenaikan-penghasilan-tidak-kena.pdf" TargetMode="External"/><Relationship Id="rId21" Type="http://schemas.openxmlformats.org/officeDocument/2006/relationships/hyperlink" Target="https://www.cnbcindonesia.com/news/20260421173825-4-728649/purbaya-hitung-rokok-ilegal-bikin-negara-rugi-rp60-t-setahun" TargetMode="External"/><Relationship Id="rId65" Type="http://schemas.openxmlformats.org/officeDocument/2006/relationships/hyperlink" Target="https://muc.co.id/id/article/bps-sebut-porsi-pengeluaran-pajak-kelas-menengah-naik" TargetMode="External"/><Relationship Id="rId24" Type="http://schemas.openxmlformats.org/officeDocument/2006/relationships/hyperlink" Target="https://mediakeuangan.kemenkeu.go.id/article/show/estimasi-belanja-perpajakan-2025-capai-rp515-triliun-mayoritas-untuk-rumah-tangga" TargetMode="External"/><Relationship Id="rId68" Type="http://schemas.openxmlformats.org/officeDocument/2006/relationships/hyperlink" Target="https://enciety.co/bedah-sistem-coretax-mampukah-dongkrak-penerimaan-pajak-2026/" TargetMode="External"/><Relationship Id="rId23" Type="http://schemas.openxmlformats.org/officeDocument/2006/relationships/hyperlink" Target="https://ikpi.or.id/bea-cukai-bongkar-peredaran-89-juta-batang-rokok-tanpa-pita-cukai/" TargetMode="External"/><Relationship Id="rId67" Type="http://schemas.openxmlformats.org/officeDocument/2006/relationships/hyperlink" Target="https://ikpi.or.id/djp-andalkan-coretax-dan-ekstensifikasi-pajak-untuk-kejar-tax-ratio-hingga-15/" TargetMode="External"/><Relationship Id="rId60" Type="http://schemas.openxmlformats.org/officeDocument/2006/relationships/hyperlink" Target="https://www.dpr.go.id/kegiatan-dpr/berita/Wihadi-Wijanto-Dividen-BUMN-Beralih-ke-Danantara-Bukan-Hilang-dari-Negara-66874" TargetMode="External"/><Relationship Id="rId26" Type="http://schemas.openxmlformats.org/officeDocument/2006/relationships/hyperlink" Target="https://muctri.org/data-dan-graphic/perkembangan-belanja-perpajakan-indonesia-1" TargetMode="External"/><Relationship Id="rId25" Type="http://schemas.openxmlformats.org/officeDocument/2006/relationships/hyperlink" Target="https://pajak.go.id/id/artikel/mengenal-tax-expenditure-belanja-perpajakan-yang-menguntungkan-wajib-pajak" TargetMode="External"/><Relationship Id="rId69" Type="http://schemas.openxmlformats.org/officeDocument/2006/relationships/hyperlink" Target="https://journal.unika.ac.id/index.php/jemap/article/download/14261/pdf" TargetMode="External"/><Relationship Id="rId28" Type="http://schemas.openxmlformats.org/officeDocument/2006/relationships/hyperlink" Target="https://fiskal.kemenkeu.go.id/publikasi/tax-expenditure-report" TargetMode="External"/><Relationship Id="rId27" Type="http://schemas.openxmlformats.org/officeDocument/2006/relationships/hyperlink" Target="https://ortax.org/naik-11-persen-belanja-perpajakan-2024-capai-rp-400-koma-1-triliun" TargetMode="External"/><Relationship Id="rId29" Type="http://schemas.openxmlformats.org/officeDocument/2006/relationships/hyperlink" Target="https://news.ddtc.co.id/berita/nasional/1816499/kemenkeu-rilis-laporan-belanja-perpajakan-2024-nilainya-rp4001-t" TargetMode="External"/><Relationship Id="rId51" Type="http://schemas.openxmlformats.org/officeDocument/2006/relationships/hyperlink" Target="https://www.djkn.kemenkeu.go.id/berita/baca/26910/Pemerintah-Berikan-PMN-Rp385-Triliun-Kepada-7-BUMN-di-Tahun-2022.html" TargetMode="External"/><Relationship Id="rId50" Type="http://schemas.openxmlformats.org/officeDocument/2006/relationships/hyperlink" Target="https://www.inka.co.id/artikel/20-bumn-dapat-pmn-rp448-triliun" TargetMode="External"/><Relationship Id="rId53" Type="http://schemas.openxmlformats.org/officeDocument/2006/relationships/hyperlink" Target="https://www.indopremier.com/ipotnews/newsDetail.php?jdl=Rugi%2520Bersih%2520di%25202025%2520Bengkak%252051,7%25,%2520Defisit%2520WSKT%2520Naik%2520Jadi%2520Rp20,22%2520Triliun&amp;news_id=215655&amp;group_news=IPOTNEWS&amp;news_date&amp;taging_subtype&amp;name&amp;search&amp;q&amp;halaman" TargetMode="External"/><Relationship Id="rId52" Type="http://schemas.openxmlformats.org/officeDocument/2006/relationships/hyperlink" Target="https://investasi.kontan.co.id/news/rugi-waskita-karya-wskt-bengkak-menjadi-rp-392-triliun-di-2025" TargetMode="External"/><Relationship Id="rId11" Type="http://schemas.openxmlformats.org/officeDocument/2006/relationships/hyperlink" Target="https://www.ssas.co.id/beban-utang-membengkak-setengah-penerimaan-pajak-terancam-tersedot/" TargetMode="External"/><Relationship Id="rId55" Type="http://schemas.openxmlformats.org/officeDocument/2006/relationships/hyperlink" Target="https://www.bloombergtechnoz.com/detail-news/38435/bpk-laporkan-indofarma-inaf-bikin-rugi-negara-rp317-m" TargetMode="External"/><Relationship Id="rId10" Type="http://schemas.openxmlformats.org/officeDocument/2006/relationships/hyperlink" Target="https://news.ddtc.co.id/berita/nasional/1813910/seluruh-postur-disepakati-dpr-sahkan-rapbn-2026-menjadi-undang-undang" TargetMode="External"/><Relationship Id="rId54" Type="http://schemas.openxmlformats.org/officeDocument/2006/relationships/hyperlink" Target="https://www.cnbcindonesia.com/market/20240604111238-17-543629/bpk-temukan-fraud-indofarma-negara-rugi-rp14657-m" TargetMode="External"/><Relationship Id="rId13" Type="http://schemas.openxmlformats.org/officeDocument/2006/relationships/hyperlink" Target="https://celios.co.id/wp-content/uploads/2025/08/CELIOS-Dengan-Hormat-Pejabat-Negara-Jangan-Menarik-Pajak-Seperti-Berburu-di-Kebun-Binatang_2025_.pdf" TargetMode="External"/><Relationship Id="rId57" Type="http://schemas.openxmlformats.org/officeDocument/2006/relationships/hyperlink" Target="https://www.pajak.go.id/id/artikel/aspek-perpajakan-danantara" TargetMode="External"/><Relationship Id="rId12" Type="http://schemas.openxmlformats.org/officeDocument/2006/relationships/hyperlink" Target="https://www.inanews.co.id/2026/05/23-persen-pajak-habis-untuk-bunga-utang-fiskal-ri-lampu-kuning/" TargetMode="External"/><Relationship Id="rId56" Type="http://schemas.openxmlformats.org/officeDocument/2006/relationships/hyperlink" Target="https://www.tempo.co/ekonomi/temuan-bpk-indofarma-berpotensi-rugikan-negara-rp146-57-miliar-52501" TargetMode="External"/><Relationship Id="rId15" Type="http://schemas.openxmlformats.org/officeDocument/2006/relationships/hyperlink" Target="https://auriga.or.id/related/previewPDF/en/related/22/7_kpk_2013_kajian_pnbp_minerba_narasi_en.pdf" TargetMode="External"/><Relationship Id="rId59" Type="http://schemas.openxmlformats.org/officeDocument/2006/relationships/hyperlink" Target="https://jurnal.locusmedia.id/index.php/jkih/article/download/931/437/1886" TargetMode="External"/><Relationship Id="rId14" Type="http://schemas.openxmlformats.org/officeDocument/2006/relationships/hyperlink" Target="https://www.indopremier.com/ipotnews/newsDetail.php?jdl=Ditjen_Pajak_Targetkan_Tax_Ratio_15__PDB_dengan_Coretax_Mulai_Juli_2026&amp;news_id=225012&amp;group_news=IPOTNEWS&amp;taging_subtype=MACROREVIEW&amp;name&amp;search=y_general&amp;q=RPJMN+2025-2029,+target+fiskal,+ekonomi+informal,+AI,+AI+News&amp;halaman=1" TargetMode="External"/><Relationship Id="rId58" Type="http://schemas.openxmlformats.org/officeDocument/2006/relationships/hyperlink" Target="https://pajakku.com/artikel/kewenangan-baru-danantara-dalam-pp-192026" TargetMode="External"/><Relationship Id="rId17" Type="http://schemas.openxmlformats.org/officeDocument/2006/relationships/hyperlink" Target="https://ikpi.or.id/kemenkeu-pakai-ai-telusuri-dugaan-transfer-pricing-ekspor-sawit/" TargetMode="External"/><Relationship Id="rId16" Type="http://schemas.openxmlformats.org/officeDocument/2006/relationships/hyperlink" Target="https://news.ddtc.co.id/berita/nasional/16570/kpk-awasi-pelanggaran-pajak-sektor-sumber-daya-alam" TargetMode="External"/><Relationship Id="rId19" Type="http://schemas.openxmlformats.org/officeDocument/2006/relationships/hyperlink" Target="https://www.cnbcindonesia.com/news/20260526123718-4-738091/modus-kencing-di-laut-under-invoicing-ekspor-sda-ri-ternyata-begini" TargetMode="External"/><Relationship Id="rId18" Type="http://schemas.openxmlformats.org/officeDocument/2006/relationships/hyperlink" Target="https://news.ddtc.co.id/berita/nasional/1819715/kemenkeu-usut-dugaan-manipulasi-transfer-pricing-ekspor-cp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